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Times New Roman" w:hAnsi="Times New Roman" w:eastAsia="方正仿宋_GBK" w:cs="Times New Roman"/>
          <w:bCs/>
          <w:sz w:val="32"/>
          <w:szCs w:val="32"/>
          <w:lang w:val="en-US" w:eastAsia="zh-CN"/>
        </w:rPr>
      </w:pPr>
      <w:r>
        <w:rPr>
          <w:rFonts w:ascii="Times New Roman" w:hAnsi="Times New Roman" w:eastAsia="方正仿宋_GBK" w:cs="Times New Roman"/>
          <w:bCs/>
          <w:sz w:val="32"/>
          <w:szCs w:val="32"/>
        </w:rPr>
        <w:t>附件</w:t>
      </w:r>
      <w:r>
        <w:rPr>
          <w:rFonts w:hint="eastAsia" w:ascii="Times New Roman" w:hAnsi="Times New Roman" w:eastAsia="方正仿宋_GBK" w:cs="Times New Roman"/>
          <w:bCs/>
          <w:sz w:val="32"/>
          <w:szCs w:val="32"/>
          <w:lang w:val="en-US" w:eastAsia="zh-CN"/>
        </w:rPr>
        <w:t>6</w:t>
      </w:r>
      <w:bookmarkStart w:id="4" w:name="_GoBack"/>
      <w:bookmarkEnd w:id="4"/>
      <w:r>
        <w:rPr>
          <w:rFonts w:hint="eastAsia" w:ascii="Times New Roman" w:hAnsi="Times New Roman" w:eastAsia="方正仿宋_GBK"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313" w:beforeLines="100" w:line="576" w:lineRule="exact"/>
        <w:jc w:val="center"/>
        <w:textAlignment w:val="auto"/>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林周县财政支出预算绩效</w:t>
      </w:r>
      <w:r>
        <w:rPr>
          <w:rFonts w:hint="eastAsia" w:ascii="Times New Roman" w:hAnsi="Times New Roman" w:eastAsia="方正小标宋_GBK" w:cs="Times New Roman"/>
          <w:bCs/>
          <w:sz w:val="44"/>
          <w:szCs w:val="44"/>
          <w:lang w:eastAsia="zh-CN"/>
        </w:rPr>
        <w:t>评价结果</w:t>
      </w:r>
      <w:r>
        <w:rPr>
          <w:rFonts w:ascii="Times New Roman" w:hAnsi="Times New Roman" w:eastAsia="方正小标宋_GBK" w:cs="Times New Roman"/>
          <w:bCs/>
          <w:sz w:val="44"/>
          <w:szCs w:val="44"/>
        </w:rPr>
        <w:t>应用管理</w:t>
      </w:r>
    </w:p>
    <w:p>
      <w:pPr>
        <w:spacing w:line="576"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暂行办法</w:t>
      </w:r>
    </w:p>
    <w:p>
      <w:pPr>
        <w:spacing w:line="576" w:lineRule="exact"/>
        <w:jc w:val="center"/>
        <w:rPr>
          <w:rFonts w:ascii="Times New Roman" w:hAnsi="Times New Roman" w:eastAsia="方正仿宋_GBK" w:cs="Times New Roman"/>
          <w:b/>
          <w:sz w:val="32"/>
          <w:szCs w:val="32"/>
        </w:rPr>
      </w:pPr>
      <w:r>
        <w:rPr>
          <w:rFonts w:ascii="Times New Roman" w:hAnsi="Times New Roman" w:eastAsia="方正黑体_GBK" w:cs="Times New Roman"/>
          <w:bCs/>
          <w:sz w:val="32"/>
          <w:szCs w:val="32"/>
        </w:rPr>
        <w:t>第一章 总则</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第一条</w:t>
      </w:r>
      <w:r>
        <w:rPr>
          <w:rFonts w:ascii="Times New Roman" w:hAnsi="Times New Roman" w:eastAsia="方正仿宋_GBK" w:cs="Times New Roman"/>
          <w:sz w:val="32"/>
          <w:szCs w:val="32"/>
        </w:rPr>
        <w:t> 为深化预算绩效管理改革，加大和规范预算绩效成果应用，切实提高财政资金使用效益和管理水平，根据《中华人民共和国预算法》、</w:t>
      </w:r>
      <w:bookmarkStart w:id="0" w:name="OLE_LINK2"/>
      <w:r>
        <w:rPr>
          <w:rFonts w:ascii="Times New Roman" w:hAnsi="Times New Roman" w:eastAsia="方正仿宋_GBK" w:cs="Times New Roman"/>
          <w:sz w:val="32"/>
          <w:szCs w:val="32"/>
        </w:rPr>
        <w:t>《财政支出绩效评价管理暂行办法》（财预〔2011〕285 号）、</w:t>
      </w:r>
      <w:bookmarkEnd w:id="0"/>
      <w:r>
        <w:rPr>
          <w:rFonts w:ascii="Times New Roman" w:hAnsi="Times New Roman" w:eastAsia="方正仿宋_GBK" w:cs="Times New Roman"/>
          <w:sz w:val="32"/>
          <w:szCs w:val="32"/>
        </w:rPr>
        <w:t>《项目支出绩效评价管理办法</w:t>
      </w:r>
      <w:bookmarkStart w:id="1" w:name="OLE_LINK1"/>
      <w:r>
        <w:rPr>
          <w:rFonts w:ascii="Times New Roman" w:hAnsi="Times New Roman" w:eastAsia="方正仿宋_GBK" w:cs="Times New Roman"/>
          <w:sz w:val="32"/>
          <w:szCs w:val="32"/>
        </w:rPr>
        <w:t>》</w:t>
      </w:r>
      <w:bookmarkStart w:id="2" w:name="OLE_LINK3"/>
      <w:r>
        <w:rPr>
          <w:rFonts w:ascii="Times New Roman" w:hAnsi="Times New Roman" w:eastAsia="方正仿宋_GBK" w:cs="Times New Roman"/>
          <w:sz w:val="32"/>
          <w:szCs w:val="32"/>
        </w:rPr>
        <w:t>（</w:t>
      </w:r>
      <w:bookmarkEnd w:id="1"/>
      <w:r>
        <w:rPr>
          <w:rFonts w:ascii="Times New Roman" w:hAnsi="Times New Roman" w:eastAsia="方正仿宋_GBK" w:cs="Times New Roman"/>
          <w:sz w:val="32"/>
          <w:szCs w:val="32"/>
        </w:rPr>
        <w:t>财预〔2020〕10号）</w:t>
      </w:r>
      <w:bookmarkEnd w:id="2"/>
      <w:r>
        <w:rPr>
          <w:rFonts w:hint="eastAsia" w:ascii="Times New Roman" w:hAnsi="Times New Roman" w:eastAsia="方正仿宋_GBK" w:cs="Times New Roman"/>
          <w:sz w:val="32"/>
          <w:szCs w:val="32"/>
          <w:lang w:eastAsia="zh-CN"/>
        </w:rPr>
        <w:t>、</w:t>
      </w:r>
      <w:bookmarkStart w:id="3" w:name="OLE_LINK4"/>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西藏自治区</w:t>
      </w:r>
      <w:r>
        <w:rPr>
          <w:rFonts w:ascii="Times New Roman" w:hAnsi="Times New Roman" w:eastAsia="方正仿宋_GBK" w:cs="Times New Roman"/>
          <w:sz w:val="32"/>
          <w:szCs w:val="32"/>
        </w:rPr>
        <w:t>财政支出预算绩效</w:t>
      </w:r>
      <w:r>
        <w:rPr>
          <w:rFonts w:hint="eastAsia" w:ascii="Times New Roman" w:hAnsi="Times New Roman" w:eastAsia="方正仿宋_GBK" w:cs="Times New Roman"/>
          <w:sz w:val="32"/>
          <w:szCs w:val="32"/>
          <w:lang w:eastAsia="zh-CN"/>
        </w:rPr>
        <w:t>评价结果</w:t>
      </w:r>
      <w:r>
        <w:rPr>
          <w:rFonts w:ascii="Times New Roman" w:hAnsi="Times New Roman" w:eastAsia="方正仿宋_GBK" w:cs="Times New Roman"/>
          <w:sz w:val="32"/>
          <w:szCs w:val="32"/>
        </w:rPr>
        <w:t>应用管理暂行办法》</w:t>
      </w:r>
      <w:r>
        <w:rPr>
          <w:rFonts w:hint="eastAsia" w:ascii="Times New Roman" w:hAnsi="Times New Roman" w:eastAsia="方正仿宋_GBK" w:cs="Times New Roman"/>
          <w:sz w:val="32"/>
          <w:szCs w:val="32"/>
          <w:lang w:eastAsia="zh-CN"/>
        </w:rPr>
        <w:t>（藏</w:t>
      </w:r>
      <w:r>
        <w:rPr>
          <w:rFonts w:ascii="Times New Roman" w:hAnsi="Times New Roman" w:eastAsia="方正仿宋_GBK" w:cs="Times New Roman"/>
          <w:sz w:val="32"/>
          <w:szCs w:val="32"/>
        </w:rPr>
        <w:t>财预</w:t>
      </w:r>
      <w:r>
        <w:rPr>
          <w:rFonts w:hint="eastAsia" w:ascii="Times New Roman" w:hAnsi="Times New Roman" w:eastAsia="方正仿宋_GBK" w:cs="Times New Roman"/>
          <w:sz w:val="32"/>
          <w:szCs w:val="32"/>
          <w:lang w:eastAsia="zh-CN"/>
        </w:rPr>
        <w:t>字</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17</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95</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《拉萨市财政支出预算绩效成果应用管理暂行办法》</w:t>
      </w:r>
      <w:bookmarkEnd w:id="3"/>
      <w:r>
        <w:rPr>
          <w:rFonts w:ascii="Times New Roman" w:hAnsi="Times New Roman" w:eastAsia="方正仿宋_GBK" w:cs="Times New Roman"/>
          <w:sz w:val="32"/>
          <w:szCs w:val="32"/>
        </w:rPr>
        <w:t>等有关规定，制定本办法。</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第二条</w:t>
      </w:r>
      <w:r>
        <w:rPr>
          <w:rFonts w:ascii="Times New Roman" w:hAnsi="Times New Roman" w:eastAsia="方正仿宋_GBK" w:cs="Times New Roman"/>
          <w:sz w:val="32"/>
          <w:szCs w:val="32"/>
        </w:rPr>
        <w:t> 评价组织部门(指财政部门或预算部门)开展的绩效目标管理、绩效跟踪管理、绩效评价管理等全过程预算绩效管理各环节的结果，包括预算部门整体支出绩效评价结果以及财政支出绩效目标管理、事前绩效评估、绩效跟踪和绩效评价结果等的成果应用，适用本办法。</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第三条</w:t>
      </w:r>
      <w:r>
        <w:rPr>
          <w:rFonts w:ascii="Times New Roman" w:hAnsi="Times New Roman" w:eastAsia="方正仿宋_GBK" w:cs="Times New Roman"/>
          <w:sz w:val="32"/>
          <w:szCs w:val="32"/>
        </w:rPr>
        <w:t> 预算绩效成果是指评价组织部门根据预算绩效管理有关规定，采用科学合理的评价指标、评价标准和评价方法，对纳入政府预算管理的所有财政性资金，包括公共财政预算、政府性基金预算、国有资本经营预算等安排支出进行绩效目标管理、事前绩效评估、绩效跟踪、绩效评价等相关绩效管理活动，形成的评价结论和意见等，以事前绩效评估报告、绩效评估报告或绩效报告为主要载体。评价组织部门要对绩效目标编制情况报告、事前绩效评估报告、绩效跟踪报告、绩效评价报告和绩效报告加强审核，对审核通过的报告予以应用。</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第四条</w:t>
      </w:r>
      <w:r>
        <w:rPr>
          <w:rFonts w:ascii="Times New Roman" w:hAnsi="Times New Roman" w:eastAsia="方正仿宋_GBK" w:cs="Times New Roman"/>
          <w:sz w:val="32"/>
          <w:szCs w:val="32"/>
        </w:rPr>
        <w:t xml:space="preserve"> 预算绩效评价成果应用充分利用绩效目标编制情况报告、事前绩效评估报告、绩效跟踪报告、绩效评价报告或绩效报告中所反映的内容、事项及结论，提高预算资金使用绩效、部门履职能力、财政部门财政管理水平和政策有效性等具体行为活动。</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绩效评价成果应用包括成果的反馈、整改、报告、信息公开、挂钩预算安排和资金分配并实施奖惩等。</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第五条</w:t>
      </w:r>
      <w:r>
        <w:rPr>
          <w:rFonts w:ascii="Times New Roman" w:hAnsi="Times New Roman" w:eastAsia="方正仿宋_GBK" w:cs="Times New Roman"/>
          <w:sz w:val="32"/>
          <w:szCs w:val="32"/>
        </w:rPr>
        <w:t xml:space="preserve"> 以事前绩效评估报告、绩效评价报告等为载体的绩效管理活动要科学设计评估评价指标体系，合理制定评估评价标准，规范开展评估评价工作，给出绩效评估评价结论。揭示存在的问题并提出改进意见。事前绩效评估结论分为予以支持、部分支持、不予支持三种结论。绩效评价结论采取评分与评级相结合的形式，评价计分90 （含）～100分对应的评价结果级别为优；80分（含）～90分对应的评价结果级别为良；60分（含）－80分对应的评价结果级别为中；60分以下对应的评价结果级别为差。</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第六条</w:t>
      </w:r>
      <w:r>
        <w:rPr>
          <w:rFonts w:ascii="Times New Roman" w:hAnsi="Times New Roman" w:eastAsia="方正仿宋_GBK" w:cs="Times New Roman"/>
          <w:sz w:val="32"/>
          <w:szCs w:val="32"/>
        </w:rPr>
        <w:t xml:space="preserve"> 以绩效报告为载体的绩效评价可以不设计评价指标体系。主要反映绩效目标完成情况和存在的问题，并提出改进意见等，可以不采取评分或评级形式。</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第七条</w:t>
      </w:r>
      <w:r>
        <w:rPr>
          <w:rFonts w:ascii="Times New Roman" w:hAnsi="Times New Roman" w:eastAsia="方正仿宋_GBK" w:cs="Times New Roman"/>
          <w:sz w:val="32"/>
          <w:szCs w:val="32"/>
        </w:rPr>
        <w:t xml:space="preserve"> 预算绩效成果应用应遵循客观公正、循序渐进、惩前毖后、奖优罚劣的原则。</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第八条</w:t>
      </w:r>
      <w:r>
        <w:rPr>
          <w:rFonts w:ascii="Times New Roman" w:hAnsi="Times New Roman" w:eastAsia="方正仿宋_GBK" w:cs="Times New Roman"/>
          <w:sz w:val="32"/>
          <w:szCs w:val="32"/>
        </w:rPr>
        <w:t xml:space="preserve"> 预算绩效成果应用工作中涉及保密事项的必须严守保密工作纪律。</w:t>
      </w:r>
    </w:p>
    <w:p>
      <w:pPr>
        <w:spacing w:line="576"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bCs/>
          <w:sz w:val="32"/>
          <w:szCs w:val="32"/>
        </w:rPr>
        <w:t>第九条</w:t>
      </w:r>
      <w:r>
        <w:rPr>
          <w:rFonts w:ascii="Times New Roman" w:hAnsi="Times New Roman" w:eastAsia="方正仿宋_GBK" w:cs="Times New Roman"/>
          <w:sz w:val="32"/>
          <w:szCs w:val="32"/>
        </w:rPr>
        <w:t xml:space="preserve"> 预算绩效成果应用的主体是</w:t>
      </w:r>
      <w:r>
        <w:rPr>
          <w:rFonts w:hint="eastAsia" w:ascii="Times New Roman" w:hAnsi="Times New Roman" w:eastAsia="方正仿宋_GBK" w:cs="Times New Roman"/>
          <w:sz w:val="32"/>
          <w:szCs w:val="32"/>
          <w:lang w:eastAsia="zh-CN"/>
        </w:rPr>
        <w:t>县</w:t>
      </w:r>
      <w:r>
        <w:rPr>
          <w:rFonts w:ascii="Times New Roman" w:hAnsi="Times New Roman" w:eastAsia="方正仿宋_GBK" w:cs="Times New Roman"/>
          <w:sz w:val="32"/>
          <w:szCs w:val="32"/>
        </w:rPr>
        <w:t>财政部门、预算部门。财政部门会同预算部门组织开展绩效成果应用工作。</w:t>
      </w:r>
      <w:r>
        <w:rPr>
          <w:rFonts w:ascii="Times New Roman" w:hAnsi="Times New Roman" w:eastAsia="方正仿宋_GBK" w:cs="Times New Roman"/>
          <w:b/>
          <w:sz w:val="32"/>
          <w:szCs w:val="32"/>
        </w:rPr>
        <w:t xml:space="preserve"> </w:t>
      </w:r>
    </w:p>
    <w:p>
      <w:pPr>
        <w:spacing w:line="576" w:lineRule="exact"/>
        <w:jc w:val="center"/>
        <w:rPr>
          <w:rFonts w:ascii="Times New Roman" w:hAnsi="Times New Roman" w:eastAsia="方正仿宋_GBK" w:cs="Times New Roman"/>
          <w:b/>
          <w:sz w:val="32"/>
          <w:szCs w:val="32"/>
        </w:rPr>
      </w:pPr>
      <w:r>
        <w:rPr>
          <w:rFonts w:ascii="Times New Roman" w:hAnsi="Times New Roman" w:eastAsia="方正黑体_GBK" w:cs="Times New Roman"/>
          <w:bCs/>
          <w:sz w:val="32"/>
          <w:szCs w:val="32"/>
        </w:rPr>
        <w:t>第二章 结果反馈与整改</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第十条</w:t>
      </w:r>
      <w:r>
        <w:rPr>
          <w:rFonts w:ascii="Times New Roman" w:hAnsi="Times New Roman" w:eastAsia="方正仿宋_GBK" w:cs="Times New Roman"/>
          <w:sz w:val="32"/>
          <w:szCs w:val="32"/>
        </w:rPr>
        <w:t xml:space="preserve"> 评价组织部门要在绩效目标编制、事前绩效评估、绩效跟踪和绩效评价结果确定后，以正式文件或函件等形式将评估评价结论，存在的问题和意见建议反馈给被评价单位或预算部门。</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第十一条</w:t>
      </w:r>
      <w:r>
        <w:rPr>
          <w:rFonts w:ascii="Times New Roman" w:hAnsi="Times New Roman" w:eastAsia="方正仿宋_GBK" w:cs="Times New Roman"/>
          <w:sz w:val="32"/>
          <w:szCs w:val="32"/>
        </w:rPr>
        <w:t xml:space="preserve"> 被评价对象自收到结果反馈文件之日起20天内，根据评估评价结论及整改要求，制定整改措施，报送财政</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第十二条</w:t>
      </w:r>
      <w:r>
        <w:rPr>
          <w:rFonts w:ascii="Times New Roman" w:hAnsi="Times New Roman" w:eastAsia="方正仿宋_GBK" w:cs="Times New Roman"/>
          <w:sz w:val="32"/>
          <w:szCs w:val="32"/>
        </w:rPr>
        <w:t> 被评价对象制定整改措施应坚持问题导向，针对评估评价反映的问题，通过加强项目规划和绩效目标管理、完善项目分配办法和管理办法、加强项目管理等方式进行整改。</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第十三条</w:t>
      </w:r>
      <w:r>
        <w:rPr>
          <w:rFonts w:ascii="Times New Roman" w:hAnsi="Times New Roman" w:eastAsia="方正仿宋_GBK" w:cs="Times New Roman"/>
          <w:sz w:val="32"/>
          <w:szCs w:val="32"/>
        </w:rPr>
        <w:t> 在评估评价中发现的财政违法违规行为，依法依规追究责任。对违规申报获得财政资金，财政部门、预算部门应督促收回资金，并取消</w:t>
      </w:r>
      <w:r>
        <w:rPr>
          <w:rFonts w:hint="eastAsia" w:ascii="Times New Roman" w:hAnsi="Times New Roman" w:eastAsia="方正仿宋_GBK" w:cs="Times New Roman"/>
          <w:sz w:val="32"/>
          <w:szCs w:val="32"/>
          <w:lang w:eastAsia="zh-CN"/>
        </w:rPr>
        <w:t>相关项目的</w:t>
      </w:r>
      <w:r>
        <w:rPr>
          <w:rFonts w:ascii="Times New Roman" w:hAnsi="Times New Roman" w:eastAsia="方正仿宋_GBK" w:cs="Times New Roman"/>
          <w:sz w:val="32"/>
          <w:szCs w:val="32"/>
        </w:rPr>
        <w:t>申报。</w:t>
      </w:r>
    </w:p>
    <w:p>
      <w:pPr>
        <w:spacing w:line="576"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bCs/>
          <w:sz w:val="32"/>
          <w:szCs w:val="32"/>
        </w:rPr>
        <w:t>第十四条</w:t>
      </w:r>
      <w:r>
        <w:rPr>
          <w:rFonts w:ascii="Times New Roman" w:hAnsi="Times New Roman" w:eastAsia="方正仿宋_GBK" w:cs="Times New Roman"/>
          <w:sz w:val="32"/>
          <w:szCs w:val="32"/>
        </w:rPr>
        <w:t xml:space="preserve"> 财政部门、预算部门要对被评价对象整改情况进行跟踪。</w:t>
      </w:r>
    </w:p>
    <w:p>
      <w:pPr>
        <w:spacing w:line="576" w:lineRule="exact"/>
        <w:jc w:val="center"/>
        <w:rPr>
          <w:rFonts w:ascii="Times New Roman" w:hAnsi="Times New Roman" w:eastAsia="方正仿宋_GBK" w:cs="Times New Roman"/>
          <w:b/>
          <w:sz w:val="32"/>
          <w:szCs w:val="32"/>
        </w:rPr>
      </w:pPr>
      <w:r>
        <w:rPr>
          <w:rFonts w:ascii="Times New Roman" w:hAnsi="Times New Roman" w:eastAsia="方正黑体_GBK" w:cs="Times New Roman"/>
          <w:bCs/>
          <w:sz w:val="32"/>
          <w:szCs w:val="32"/>
        </w:rPr>
        <w:t>第三章 结果报告与公开</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第十五条</w:t>
      </w:r>
      <w:r>
        <w:rPr>
          <w:rFonts w:ascii="Times New Roman" w:hAnsi="Times New Roman" w:eastAsia="方正仿宋_GBK" w:cs="Times New Roman"/>
          <w:sz w:val="32"/>
          <w:szCs w:val="32"/>
        </w:rPr>
        <w:t xml:space="preserve"> 财政部门、预算部门（单位）应在事前绩效评估、绩效评价结果确定后1个月内向</w:t>
      </w:r>
      <w:r>
        <w:rPr>
          <w:rFonts w:hint="eastAsia" w:ascii="Times New Roman" w:hAnsi="Times New Roman" w:eastAsia="方正仿宋_GBK" w:cs="Times New Roman"/>
          <w:sz w:val="32"/>
          <w:szCs w:val="32"/>
          <w:lang w:eastAsia="zh-CN"/>
        </w:rPr>
        <w:t>县</w:t>
      </w:r>
      <w:r>
        <w:rPr>
          <w:rFonts w:ascii="Times New Roman" w:hAnsi="Times New Roman" w:eastAsia="方正仿宋_GBK" w:cs="Times New Roman"/>
          <w:sz w:val="32"/>
          <w:szCs w:val="32"/>
        </w:rPr>
        <w:t>政府专题报告。</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第十六条</w:t>
      </w:r>
      <w:r>
        <w:rPr>
          <w:rFonts w:ascii="Times New Roman" w:hAnsi="Times New Roman" w:eastAsia="方正仿宋_GBK" w:cs="Times New Roman"/>
          <w:sz w:val="32"/>
          <w:szCs w:val="32"/>
        </w:rPr>
        <w:t xml:space="preserve"> 财政部门、预算部门（单位）应按照《中华人民共和国预算法》等法律法规要求，每年选择部分事前绩效评估报告、绩效评价报告随同决算向</w:t>
      </w:r>
      <w:r>
        <w:rPr>
          <w:rFonts w:hint="eastAsia" w:ascii="Times New Roman" w:hAnsi="Times New Roman" w:eastAsia="方正仿宋_GBK" w:cs="Times New Roman"/>
          <w:sz w:val="32"/>
          <w:szCs w:val="32"/>
          <w:lang w:eastAsia="zh-CN"/>
        </w:rPr>
        <w:t>县</w:t>
      </w:r>
      <w:r>
        <w:rPr>
          <w:rFonts w:ascii="Times New Roman" w:hAnsi="Times New Roman" w:eastAsia="方正仿宋_GBK" w:cs="Times New Roman"/>
          <w:sz w:val="32"/>
          <w:szCs w:val="32"/>
        </w:rPr>
        <w:t>人大常委会报告。</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第十七条</w:t>
      </w:r>
      <w:r>
        <w:rPr>
          <w:rFonts w:ascii="Times New Roman" w:hAnsi="Times New Roman" w:eastAsia="方正仿宋_GBK" w:cs="Times New Roman"/>
          <w:sz w:val="32"/>
          <w:szCs w:val="32"/>
        </w:rPr>
        <w:t xml:space="preserve"> 财政部门、预算部门要建立绩效通报制度。</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（一）财政部门要将部门绩效目标编制、项目支出事前绩效评估、绩效跟踪、绩效评价、部门整体支出绩效评价和财政支出政策绩效评价结果向预算部门通报。</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（二）预算部门要将项目支出绩效评价、单位整体支出绩效评价结果在本单位内部通报。</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（三）通报应遵循突出重点、客观真实、注重实效的原则。</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（四）通报的内容必须详实、准确，主要包括预算绩效评价的基本情况、考评结果和存在的问题等方面。根据需要，可全部通报，也可就评价结果和存在的突出问题进行通报。</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第十八条</w:t>
      </w:r>
      <w:r>
        <w:rPr>
          <w:rFonts w:ascii="Times New Roman" w:hAnsi="Times New Roman" w:eastAsia="方正仿宋_GBK" w:cs="Times New Roman"/>
          <w:sz w:val="32"/>
          <w:szCs w:val="32"/>
        </w:rPr>
        <w:t xml:space="preserve"> 绩效评价结果应按照政府信息公开有关规定和“谁评价，谁公开”的原则，在一定范围内逐步公开。涉及保密不予公开的遵守保密要求。</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第十九条</w:t>
      </w:r>
      <w:r>
        <w:rPr>
          <w:rFonts w:ascii="Times New Roman" w:hAnsi="Times New Roman" w:eastAsia="方正仿宋_GBK" w:cs="Times New Roman"/>
          <w:sz w:val="32"/>
          <w:szCs w:val="32"/>
        </w:rPr>
        <w:t xml:space="preserve"> 对突出体现预算部门职能职责以及民生保障、公共服务、生态保护等社会关注度较高、金额较大的项目及重大政策的支出绩效评价结果，财政部门应当根据要求进行公开。</w:t>
      </w:r>
    </w:p>
    <w:p>
      <w:pPr>
        <w:numPr>
          <w:ilvl w:val="0"/>
          <w:numId w:val="1"/>
        </w:numPr>
        <w:spacing w:line="576" w:lineRule="exact"/>
        <w:ind w:left="0" w:firstLine="640" w:firstLineChars="200"/>
        <w:jc w:val="center"/>
        <w:rPr>
          <w:rFonts w:ascii="Times New Roman" w:hAnsi="Times New Roman" w:eastAsia="方正仿宋_GBK" w:cs="Times New Roman"/>
          <w:b/>
          <w:sz w:val="32"/>
          <w:szCs w:val="32"/>
        </w:rPr>
      </w:pPr>
      <w:r>
        <w:rPr>
          <w:rFonts w:ascii="Times New Roman" w:hAnsi="Times New Roman" w:eastAsia="方正黑体_GBK" w:cs="Times New Roman"/>
          <w:b w:val="0"/>
          <w:bCs/>
          <w:sz w:val="32"/>
          <w:szCs w:val="32"/>
        </w:rPr>
        <w:t xml:space="preserve"> 挂钩预</w:t>
      </w:r>
      <w:r>
        <w:rPr>
          <w:rFonts w:ascii="Times New Roman" w:hAnsi="Times New Roman" w:eastAsia="方正黑体_GBK" w:cs="Times New Roman"/>
          <w:bCs/>
          <w:sz w:val="32"/>
          <w:szCs w:val="32"/>
        </w:rPr>
        <w:t>算安排和资金分配</w:t>
      </w:r>
    </w:p>
    <w:p>
      <w:pPr>
        <w:spacing w:line="576" w:lineRule="exact"/>
        <w:ind w:firstLine="643" w:firstLineChars="200"/>
        <w:jc w:val="left"/>
        <w:rPr>
          <w:rFonts w:ascii="Times New Roman" w:hAnsi="Times New Roman" w:eastAsia="方正仿宋_GBK" w:cs="Times New Roman"/>
          <w:b/>
          <w:sz w:val="32"/>
          <w:szCs w:val="32"/>
        </w:rPr>
      </w:pPr>
      <w:r>
        <w:rPr>
          <w:rFonts w:ascii="Times New Roman" w:hAnsi="Times New Roman" w:eastAsia="方正仿宋_GBK" w:cs="Times New Roman"/>
          <w:b/>
          <w:bCs/>
          <w:sz w:val="32"/>
          <w:szCs w:val="32"/>
        </w:rPr>
        <w:t>第二十条</w:t>
      </w:r>
      <w:r>
        <w:rPr>
          <w:rFonts w:ascii="Times New Roman" w:hAnsi="Times New Roman" w:eastAsia="方正仿宋_GBK" w:cs="Times New Roman"/>
          <w:sz w:val="32"/>
          <w:szCs w:val="32"/>
        </w:rPr>
        <w:t xml:space="preserve"> 预算绩效成果作为以后年度编制预算和安排财政资金的重要依据，建立健全资金分配与事前绩效评估结果和绩效评价结果挂钩机制，不断完善财政资金保留、整合、调整和退出机制。绩效好的优先保障，绩效差的从严控制。</w:t>
      </w:r>
    </w:p>
    <w:p>
      <w:pPr>
        <w:spacing w:line="576" w:lineRule="exact"/>
        <w:ind w:firstLine="643"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第二十一条</w:t>
      </w:r>
      <w:r>
        <w:rPr>
          <w:rFonts w:ascii="Times New Roman" w:hAnsi="Times New Roman" w:eastAsia="方正仿宋_GBK" w:cs="Times New Roman"/>
          <w:sz w:val="32"/>
          <w:szCs w:val="32"/>
        </w:rPr>
        <w:t xml:space="preserve"> 对纳入政府预算管理的所有财政性资金，事前绩效评估和绩效评价结果作为项目资金调整、撤销、延续以及责任追究的重要依据。根据不同的评价对象和不同的评价结果，在预算安排和资金分配中进行应用。</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（一）事前绩效评估结果应用：</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评定为“予以支持”的，本年度预算优先安排；评定为“部分支持”的，本年度预算中按照评估结果予以部分安排；评定为“不予支持”的，本年度预算中不予安排。</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（二）绩效评价结果应用：</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一次性项目资金。评定为“优”等级的，对同类或新增项目资金按实际预算予以保障；评定为“良”等级的，在下一预算年度优先安排同类或新增项目资金预算；评定为“中”等级的，在核定下一预算年度同类或新增项目资金实际预算的基础上，按[20-（评价得分－60)]%比例减少安排；评定为“差”等级的，不予安排同类或新增项目资金预算。</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经常性项目资金。评定为“优”等级的，下一预算年度该项目资金按实际预算予以保障；评定为“良”等级的，下一预算年度优先安排该项目资金预算；评定为“中”等级的，在核定下一预算年度该项目资金实际预算的基础上，按[20-（评价得分－60)]%比例减少安排；评定为“差”等级的，原则上撤销下一预算年度该项目资金预算。 </w:t>
      </w:r>
    </w:p>
    <w:p>
      <w:pPr>
        <w:spacing w:line="576"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跨年度项目资金。评定为“优”等级的，下一预算年度该项目资金按实际预算以保障；评定为“良”等级的，下一预算年度优先安排该项目资金预算；评定为“中”级的，在核定下一预算年度该项目资金实际预算的基础上，原则上按[20-（评价得分－60)]%比例减少安排；评定为“差”等级的，暂缓安排下一预算年度该项目资金预算，待项目整改完成后，视项目具体情况恢复安排其预算。</w:t>
      </w:r>
    </w:p>
    <w:p>
      <w:pPr>
        <w:spacing w:line="576" w:lineRule="exact"/>
        <w:ind w:firstLine="643"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第二十二条</w:t>
      </w:r>
      <w:r>
        <w:rPr>
          <w:rFonts w:ascii="Times New Roman" w:hAnsi="Times New Roman" w:eastAsia="方正仿宋_GBK" w:cs="Times New Roman"/>
          <w:sz w:val="32"/>
          <w:szCs w:val="32"/>
        </w:rPr>
        <w:t xml:space="preserve"> 预算部门结合单位自评结果，开展绩效评价，绩效评价结果作为本部门改进预算管理、安排以后年度预算和资金分配的重要依据，以此调整和优化预算支出结构，规范项目资金分配。</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第二十三条</w:t>
      </w:r>
      <w:r>
        <w:rPr>
          <w:rFonts w:ascii="Times New Roman" w:hAnsi="Times New Roman" w:eastAsia="方正仿宋_GBK" w:cs="Times New Roman"/>
          <w:sz w:val="32"/>
          <w:szCs w:val="32"/>
        </w:rPr>
        <w:t xml:space="preserve"> 部门整体支出绩效评价结果与部门预算安排相结合。评定为“优”“良”等级的，在核定该预算部门（单位）下一预算年度项目支出总预算的基础上，考虑其政策性增支需求，适当增加其项目支出总预算；评定为“中”等级的，该预算部门（单位）下一预算年度项目支出总预算实行零增长；评定为“差”等级的，该预算部门（单位）下一预算年度项目支出总预算在实行零增长基础上按[20-（评价得分－60)]%比例减少安排。</w:t>
      </w:r>
    </w:p>
    <w:p>
      <w:pPr>
        <w:spacing w:line="576" w:lineRule="exact"/>
        <w:ind w:firstLine="640" w:firstLineChars="200"/>
        <w:rPr>
          <w:rFonts w:ascii="Times New Roman" w:hAnsi="Times New Roman" w:eastAsia="方正仿宋_GBK" w:cs="Times New Roman"/>
          <w:sz w:val="32"/>
          <w:szCs w:val="32"/>
        </w:rPr>
      </w:pP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第二十四条</w:t>
      </w:r>
      <w:r>
        <w:rPr>
          <w:rFonts w:ascii="Times New Roman" w:hAnsi="Times New Roman" w:eastAsia="方正仿宋_GBK" w:cs="Times New Roman"/>
          <w:sz w:val="32"/>
          <w:szCs w:val="32"/>
        </w:rPr>
        <w:t xml:space="preserve"> 事前绩效评估、绩效评价结果应用涉及减少部门总预算、取消专项支出项目、调整或撤销财政支出政策的，</w:t>
      </w:r>
      <w:r>
        <w:rPr>
          <w:rFonts w:hint="eastAsia" w:ascii="Times New Roman" w:hAnsi="Times New Roman" w:eastAsia="方正仿宋_GBK" w:cs="Times New Roman"/>
          <w:sz w:val="32"/>
          <w:szCs w:val="32"/>
          <w:lang w:eastAsia="zh-CN"/>
        </w:rPr>
        <w:t>财政部门</w:t>
      </w:r>
      <w:r>
        <w:rPr>
          <w:rFonts w:ascii="Times New Roman" w:hAnsi="Times New Roman" w:eastAsia="方正仿宋_GBK" w:cs="Times New Roman"/>
          <w:sz w:val="32"/>
          <w:szCs w:val="32"/>
        </w:rPr>
        <w:t>应按规定上报县政府批准。</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第二十五条</w:t>
      </w:r>
      <w:r>
        <w:rPr>
          <w:rFonts w:hint="eastAsia" w:ascii="Times New Roman" w:hAnsi="Times New Roman" w:eastAsia="方正仿宋_GBK" w:cs="Times New Roman"/>
          <w:b/>
          <w:bCs/>
          <w:sz w:val="32"/>
          <w:szCs w:val="32"/>
          <w:lang w:val="en-US" w:eastAsia="zh-CN"/>
        </w:rPr>
        <w:t xml:space="preserve"> </w:t>
      </w:r>
      <w:r>
        <w:rPr>
          <w:rFonts w:ascii="Times New Roman" w:hAnsi="Times New Roman" w:eastAsia="方正仿宋_GBK" w:cs="Times New Roman"/>
          <w:sz w:val="32"/>
          <w:szCs w:val="32"/>
        </w:rPr>
        <w:t xml:space="preserve">财政部门开展的事前绩效评估和绩效评价结果应用涉及预算安排的，财政部门要及时将预算安排相关意见反馈给预算部门，预算部门应根据财政部门意见，在部门预算编制和资金分配中落实。 </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第二十六条</w:t>
      </w:r>
      <w:r>
        <w:rPr>
          <w:rFonts w:ascii="Times New Roman" w:hAnsi="Times New Roman" w:eastAsia="方正仿宋_GBK" w:cs="Times New Roman"/>
          <w:sz w:val="32"/>
          <w:szCs w:val="32"/>
        </w:rPr>
        <w:t xml:space="preserve"> 财政部门可根据项目支出、部门整体支出绩效评价结果等，建立绩效激励性资金，对绩效工作开展较好的部门予以奖励。</w:t>
      </w:r>
    </w:p>
    <w:p>
      <w:pPr>
        <w:spacing w:line="576"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bCs/>
          <w:sz w:val="32"/>
          <w:szCs w:val="32"/>
        </w:rPr>
        <w:t>第二十七条</w:t>
      </w:r>
      <w:r>
        <w:rPr>
          <w:rFonts w:ascii="Times New Roman" w:hAnsi="Times New Roman" w:eastAsia="方正仿宋_GBK" w:cs="Times New Roman"/>
          <w:sz w:val="32"/>
          <w:szCs w:val="32"/>
        </w:rPr>
        <w:t xml:space="preserve"> 财政部门、预算部门应将事前绩效评估、绩效评价结果，在预算安排中应用情况及时向县政府、</w:t>
      </w:r>
      <w:r>
        <w:rPr>
          <w:rFonts w:hint="eastAsia" w:ascii="Times New Roman" w:hAnsi="Times New Roman" w:eastAsia="方正仿宋_GBK" w:cs="Times New Roman"/>
          <w:sz w:val="32"/>
          <w:szCs w:val="32"/>
          <w:lang w:eastAsia="zh-CN"/>
        </w:rPr>
        <w:t>县</w:t>
      </w:r>
      <w:r>
        <w:rPr>
          <w:rFonts w:ascii="Times New Roman" w:hAnsi="Times New Roman" w:eastAsia="方正仿宋_GBK" w:cs="Times New Roman"/>
          <w:sz w:val="32"/>
          <w:szCs w:val="32"/>
        </w:rPr>
        <w:t>人大常委会作专题报告。</w:t>
      </w:r>
    </w:p>
    <w:p>
      <w:pPr>
        <w:spacing w:line="576"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bCs/>
          <w:sz w:val="32"/>
          <w:szCs w:val="32"/>
        </w:rPr>
        <w:t>第二十八条</w:t>
      </w:r>
      <w:r>
        <w:rPr>
          <w:rFonts w:ascii="Times New Roman" w:hAnsi="Times New Roman" w:eastAsia="方正仿宋_GBK" w:cs="Times New Roman"/>
          <w:sz w:val="32"/>
          <w:szCs w:val="32"/>
        </w:rPr>
        <w:t xml:space="preserve"> 财政部门、预算部门应当认真履行预算绩效成果应用有关职责，切实提高财政资金使用效益，依法接受监督。</w:t>
      </w:r>
    </w:p>
    <w:p>
      <w:pPr>
        <w:spacing w:line="576" w:lineRule="exact"/>
        <w:jc w:val="center"/>
        <w:rPr>
          <w:rFonts w:ascii="Times New Roman" w:hAnsi="Times New Roman" w:eastAsia="方正仿宋_GBK" w:cs="Times New Roman"/>
          <w:b/>
          <w:sz w:val="32"/>
          <w:szCs w:val="32"/>
        </w:rPr>
      </w:pPr>
      <w:r>
        <w:rPr>
          <w:rFonts w:ascii="Times New Roman" w:hAnsi="Times New Roman" w:eastAsia="方正黑体_GBK" w:cs="Times New Roman"/>
          <w:bCs/>
          <w:sz w:val="32"/>
          <w:szCs w:val="32"/>
        </w:rPr>
        <w:t>第五章 监督检查和责任</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第二十九条</w:t>
      </w:r>
      <w:r>
        <w:rPr>
          <w:rFonts w:ascii="Times New Roman" w:hAnsi="Times New Roman" w:eastAsia="方正仿宋_GBK" w:cs="Times New Roman"/>
          <w:sz w:val="32"/>
          <w:szCs w:val="32"/>
        </w:rPr>
        <w:t xml:space="preserve"> 财政部门要对绩效成果应用情况进行监督和检查。对预算绩效管理工作取得较好结果的预算部门，可采取适当方式在一定范围内予以表扬并给予适当的激励；对预算绩效管理工作结果较差、评价发现问题多、整改差的，应予以通报批评并给予适当处罚；对不能按要求开展绩效成果应用的预算部门，财政部门应责令其限期整改。</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第三十条</w:t>
      </w:r>
      <w:r>
        <w:rPr>
          <w:rFonts w:ascii="Times New Roman" w:hAnsi="Times New Roman" w:eastAsia="方正仿宋_GBK" w:cs="Times New Roman"/>
          <w:sz w:val="32"/>
          <w:szCs w:val="32"/>
        </w:rPr>
        <w:t xml:space="preserve"> 在财政支出绩效管理工作中发现的违规问题，依据《财政违法行为处罚处分条例》等法律法规规定处理。</w:t>
      </w:r>
    </w:p>
    <w:p>
      <w:pPr>
        <w:spacing w:line="576"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第三十一条</w:t>
      </w:r>
      <w:r>
        <w:rPr>
          <w:rFonts w:ascii="Times New Roman" w:hAnsi="Times New Roman" w:eastAsia="方正仿宋_GBK" w:cs="Times New Roman"/>
          <w:sz w:val="32"/>
          <w:szCs w:val="32"/>
        </w:rPr>
        <w:t xml:space="preserve"> 建立预算绩效管理工作约谈和行政问责制度。对绩效目标编报、事前绩效评估、财政资金绩效监控、绩效评价结果较差的预算部门和乡镇，视工作开展情况，</w:t>
      </w:r>
      <w:r>
        <w:rPr>
          <w:rFonts w:hint="eastAsia" w:ascii="Times New Roman" w:hAnsi="Times New Roman" w:eastAsia="方正仿宋_GBK" w:cs="Times New Roman"/>
          <w:sz w:val="32"/>
          <w:szCs w:val="32"/>
          <w:lang w:eastAsia="zh-CN"/>
        </w:rPr>
        <w:t>由财政部门分管县级领导</w:t>
      </w:r>
      <w:r>
        <w:rPr>
          <w:rFonts w:ascii="Times New Roman" w:hAnsi="Times New Roman" w:eastAsia="方正仿宋_GBK" w:cs="Times New Roman"/>
          <w:sz w:val="32"/>
          <w:szCs w:val="32"/>
        </w:rPr>
        <w:t>进行约谈，</w:t>
      </w:r>
      <w:r>
        <w:rPr>
          <w:rFonts w:hint="eastAsia" w:ascii="Times New Roman" w:hAnsi="Times New Roman" w:eastAsia="方正仿宋_GBK" w:cs="Times New Roman"/>
          <w:sz w:val="32"/>
          <w:szCs w:val="32"/>
          <w:lang w:eastAsia="zh-CN"/>
        </w:rPr>
        <w:t>并</w:t>
      </w:r>
      <w:r>
        <w:rPr>
          <w:rFonts w:ascii="Times New Roman" w:hAnsi="Times New Roman" w:eastAsia="方正仿宋_GBK" w:cs="Times New Roman"/>
          <w:sz w:val="32"/>
          <w:szCs w:val="32"/>
        </w:rPr>
        <w:t>要求</w:t>
      </w:r>
      <w:r>
        <w:rPr>
          <w:rFonts w:hint="eastAsia" w:ascii="Times New Roman" w:hAnsi="Times New Roman" w:eastAsia="方正仿宋_GBK" w:cs="Times New Roman"/>
          <w:sz w:val="32"/>
          <w:szCs w:val="32"/>
          <w:lang w:eastAsia="zh-CN"/>
        </w:rPr>
        <w:t>其做出书面</w:t>
      </w:r>
      <w:r>
        <w:rPr>
          <w:rFonts w:ascii="Times New Roman" w:hAnsi="Times New Roman" w:eastAsia="方正仿宋_GBK" w:cs="Times New Roman"/>
          <w:sz w:val="32"/>
          <w:szCs w:val="32"/>
        </w:rPr>
        <w:t>说明，提出整改意见。将部门整体支出绩效评价和事前绩效评估、财政支出绩效监控、绩效评价结果报县政府，作为干部任用，考核评比的重要依据。</w:t>
      </w:r>
    </w:p>
    <w:p>
      <w:pPr>
        <w:spacing w:line="576" w:lineRule="exact"/>
        <w:jc w:val="center"/>
        <w:rPr>
          <w:rFonts w:ascii="Times New Roman" w:hAnsi="Times New Roman" w:eastAsia="方正仿宋_GBK" w:cs="Times New Roman"/>
          <w:b/>
          <w:sz w:val="32"/>
          <w:szCs w:val="32"/>
        </w:rPr>
      </w:pPr>
      <w:r>
        <w:rPr>
          <w:rFonts w:ascii="Times New Roman" w:hAnsi="Times New Roman" w:eastAsia="方正黑体_GBK" w:cs="Times New Roman"/>
          <w:bCs/>
          <w:sz w:val="32"/>
          <w:szCs w:val="32"/>
        </w:rPr>
        <w:t>第六章</w:t>
      </w:r>
      <w:r>
        <w:rPr>
          <w:rFonts w:hint="eastAsia" w:ascii="Times New Roman" w:hAnsi="Times New Roman" w:eastAsia="方正黑体_GBK" w:cs="Times New Roman"/>
          <w:bCs/>
          <w:sz w:val="32"/>
          <w:szCs w:val="32"/>
          <w:lang w:val="en-US" w:eastAsia="zh-CN"/>
        </w:rPr>
        <w:t xml:space="preserve"> </w:t>
      </w:r>
      <w:r>
        <w:rPr>
          <w:rFonts w:ascii="Times New Roman" w:hAnsi="Times New Roman" w:eastAsia="方正黑体_GBK" w:cs="Times New Roman"/>
          <w:bCs/>
          <w:sz w:val="32"/>
          <w:szCs w:val="32"/>
        </w:rPr>
        <w:t>附则</w:t>
      </w:r>
    </w:p>
    <w:p>
      <w:pPr>
        <w:spacing w:line="576"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bCs/>
          <w:sz w:val="32"/>
          <w:szCs w:val="32"/>
        </w:rPr>
        <w:t>第三十二条</w:t>
      </w:r>
      <w:r>
        <w:rPr>
          <w:rFonts w:ascii="Times New Roman" w:hAnsi="Times New Roman" w:eastAsia="方正仿宋_GBK" w:cs="Times New Roman"/>
          <w:sz w:val="32"/>
          <w:szCs w:val="32"/>
        </w:rPr>
        <w:t xml:space="preserve"> 本办法由林周县财政局负责解释。</w:t>
      </w:r>
    </w:p>
    <w:p>
      <w:pPr>
        <w:spacing w:line="576" w:lineRule="exact"/>
        <w:ind w:firstLine="643" w:firstLineChars="200"/>
        <w:sectPr>
          <w:footerReference r:id="rId3" w:type="default"/>
          <w:pgSz w:w="11907" w:h="16840"/>
          <w:pgMar w:top="2098" w:right="1474" w:bottom="1985" w:left="1588" w:header="851" w:footer="992" w:gutter="0"/>
          <w:pgNumType w:fmt="numberInDash"/>
          <w:cols w:space="720" w:num="1"/>
          <w:docGrid w:type="lines" w:linePitch="312" w:charSpace="0"/>
        </w:sectPr>
      </w:pPr>
      <w:r>
        <w:rPr>
          <w:rFonts w:ascii="Times New Roman" w:hAnsi="Times New Roman" w:eastAsia="方正仿宋_GBK" w:cs="Times New Roman"/>
          <w:b/>
          <w:bCs/>
          <w:sz w:val="32"/>
          <w:szCs w:val="32"/>
        </w:rPr>
        <w:t>第三十三条</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本办法自发布之日起施行。</w:t>
      </w:r>
    </w:p>
    <w:p>
      <w:pPr>
        <w:spacing w:line="576" w:lineRule="exact"/>
        <w:ind w:firstLine="640" w:firstLineChars="200"/>
        <w:rPr>
          <w:rFonts w:ascii="Times New Roman" w:hAnsi="Times New Roman" w:eastAsia="方正仿宋_GBK" w:cs="Times New Roman"/>
          <w:sz w:val="32"/>
          <w:szCs w:val="32"/>
        </w:rPr>
      </w:pPr>
    </w:p>
    <w:p>
      <w:pPr>
        <w:spacing w:line="576" w:lineRule="exact"/>
        <w:ind w:firstLine="643" w:firstLineChars="200"/>
        <w:rPr>
          <w:rFonts w:ascii="Times New Roman" w:hAnsi="Times New Roman" w:eastAsia="方正仿宋_GBK" w:cs="Times New Roman"/>
          <w:b/>
          <w:sz w:val="32"/>
          <w:szCs w:val="32"/>
        </w:rPr>
      </w:pPr>
    </w:p>
    <w:sectPr>
      <w:type w:val="continuous"/>
      <w:pgSz w:w="11907" w:h="16840"/>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2A449"/>
    <w:multiLevelType w:val="singleLevel"/>
    <w:tmpl w:val="BE42A449"/>
    <w:lvl w:ilvl="0" w:tentative="0">
      <w:start w:val="4"/>
      <w:numFmt w:val="chineseCounting"/>
      <w:suff w:val="space"/>
      <w:lvlText w:val="第%1章"/>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ulTrailSpace/>
    <w:doNotExpandShiftReturn/>
    <w:adjustLineHeightInTable/>
    <w:useFELayout/>
    <w:compatSetting w:name="compatibilityMode" w:uri="http://schemas.microsoft.com/office/word" w:val="12"/>
  </w:compat>
  <w:docVars>
    <w:docVar w:name="commondata" w:val="eyJoZGlkIjoiN2E4ZTNhNTE3NTY5NDYzZGY5NmQ4OWNlMDBmMDI5NjcifQ=="/>
  </w:docVars>
  <w:rsids>
    <w:rsidRoot w:val="00000000"/>
    <w:rsid w:val="05302F72"/>
    <w:rsid w:val="08667452"/>
    <w:rsid w:val="16BB3FB0"/>
    <w:rsid w:val="22355439"/>
    <w:rsid w:val="29F91216"/>
    <w:rsid w:val="382B36F2"/>
    <w:rsid w:val="40AD636C"/>
    <w:rsid w:val="4A033E0F"/>
    <w:rsid w:val="5019762B"/>
    <w:rsid w:val="522D2828"/>
    <w:rsid w:val="5877344E"/>
    <w:rsid w:val="699F6319"/>
    <w:rsid w:val="6E685BA2"/>
    <w:rsid w:val="740D446F"/>
    <w:rsid w:val="DBFDDF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annotation text"/>
    <w:basedOn w:val="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qFormat/>
    <w:uiPriority w:val="0"/>
    <w:rPr>
      <w:b/>
      <w:bCs/>
    </w:rPr>
  </w:style>
  <w:style w:type="character" w:styleId="14">
    <w:name w:val="annotation reference"/>
    <w:basedOn w:val="13"/>
    <w:qFormat/>
    <w:uiPriority w:val="0"/>
    <w:rPr>
      <w:sz w:val="21"/>
      <w:szCs w:val="21"/>
    </w:rPr>
  </w:style>
  <w:style w:type="paragraph" w:customStyle="1" w:styleId="1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3765</Words>
  <Characters>3820</Characters>
  <Lines>174</Lines>
  <Paragraphs>54</Paragraphs>
  <TotalTime>5</TotalTime>
  <ScaleCrop>false</ScaleCrop>
  <LinksUpToDate>false</LinksUpToDate>
  <CharactersWithSpaces>3864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2020-06-25T13:02:00Z</dcterms:created>
  <dc:creator>Lenovo</dc:creator>
  <cp:lastModifiedBy>Administrator</cp:lastModifiedBy>
  <cp:lastPrinted>2023-07-12T10:46:00Z</cp:lastPrinted>
  <dcterms:modified xsi:type="dcterms:W3CDTF">2023-08-29T04:24:03Z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6ECCB28A8BF145B6A9923EAF4D21867B</vt:lpwstr>
  </property>
</Properties>
</file>