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pacing w:before="120" w:line="307" w:lineRule="auto"/>
        <w:ind w:right="114"/>
        <w:jc w:val="center"/>
        <w:rPr>
          <w:rFonts w:ascii="黑体" w:eastAsia="黑体" w:cs="黑体" w:hAnsi="黑体" w:hint="eastAsia"/>
          <w:b/>
          <w:bCs/>
          <w:color w:val="000008"/>
          <w:spacing w:val="3"/>
          <w:sz w:val="44"/>
          <w:szCs w:val="44"/>
        </w:rPr>
      </w:pPr>
      <w:r>
        <w:rPr>
          <w:rFonts w:ascii="黑体" w:eastAsia="黑体" w:cs="黑体" w:hAnsi="黑体" w:hint="eastAsia"/>
          <w:b/>
          <w:bCs/>
          <w:color w:val="000008"/>
          <w:spacing w:val="3"/>
          <w:sz w:val="44"/>
          <w:szCs w:val="44"/>
        </w:rPr>
        <w:t>审查意见书</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林周县文化和旅游（文物）局：</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rPr>
      </w:pPr>
      <w:r>
        <w:rPr>
          <w:rFonts w:ascii="仿宋_GB2312" w:eastAsia="仿宋_GB2312" w:cs="仿宋_GB2312" w:hAnsi="仿宋_GB2312" w:hint="eastAsia"/>
          <w:b w:val="0"/>
          <w:bCs w:val="0"/>
          <w:color w:val="000008"/>
          <w:spacing w:val="3"/>
          <w:sz w:val="32"/>
          <w:szCs w:val="32"/>
          <w:lang w:val="en-US"/>
        </w:rPr>
        <w:t>西藏国昂律师事务所作为</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法律顾问，现针对</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送审的</w:t>
      </w:r>
      <w:r>
        <w:rPr>
          <w:rFonts w:ascii="仿宋_GB2312" w:eastAsia="仿宋_GB2312" w:cs="仿宋_GB2312" w:hAnsi="仿宋_GB2312" w:hint="eastAsia"/>
          <w:b/>
          <w:bCs/>
          <w:color w:val="000008"/>
          <w:spacing w:val="3"/>
          <w:sz w:val="32"/>
          <w:szCs w:val="32"/>
          <w:lang w:val="en-US"/>
        </w:rPr>
        <w:t>《林周县神秘树林景区策划</w:t>
      </w:r>
      <w:r>
        <w:rPr>
          <w:rFonts w:ascii="仿宋_GB2312" w:eastAsia="仿宋_GB2312" w:cs="仿宋_GB2312" w:hAnsi="仿宋_GB2312" w:hint="eastAsia"/>
          <w:b/>
          <w:bCs/>
          <w:color w:val="000008"/>
          <w:spacing w:val="3"/>
          <w:sz w:val="32"/>
          <w:szCs w:val="32"/>
          <w:lang w:val="en-US" w:eastAsia="zh-CN"/>
        </w:rPr>
        <w:t>概念性规划</w:t>
      </w:r>
      <w:r>
        <w:rPr>
          <w:rFonts w:ascii="仿宋_GB2312" w:eastAsia="仿宋_GB2312" w:cs="仿宋_GB2312" w:hAnsi="仿宋_GB2312" w:hint="eastAsia"/>
          <w:b/>
          <w:bCs/>
          <w:color w:val="000008"/>
          <w:spacing w:val="3"/>
          <w:sz w:val="32"/>
          <w:szCs w:val="32"/>
          <w:lang w:val="en-US"/>
        </w:rPr>
        <w:t>》</w:t>
      </w:r>
      <w:r>
        <w:rPr>
          <w:rFonts w:ascii="仿宋_GB2312" w:eastAsia="仿宋_GB2312" w:cs="仿宋_GB2312" w:hAnsi="仿宋_GB2312" w:hint="eastAsia"/>
          <w:b w:val="0"/>
          <w:bCs w:val="0"/>
          <w:color w:val="000008"/>
          <w:spacing w:val="3"/>
          <w:sz w:val="32"/>
          <w:szCs w:val="32"/>
          <w:lang w:val="en-US"/>
        </w:rPr>
        <w:t>，经我所律师仔细阅读</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提供的基础材料并结合相关法律规定，现出具如下法律意见，供</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参考。</w:t>
      </w:r>
    </w:p>
    <w:p>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基础材料</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《林周县神秘树林景区策划</w:t>
      </w:r>
      <w:r>
        <w:rPr>
          <w:rFonts w:ascii="仿宋_GB2312" w:eastAsia="仿宋_GB2312" w:cs="仿宋_GB2312" w:hAnsi="仿宋_GB2312" w:hint="eastAsia"/>
          <w:b/>
          <w:bCs/>
          <w:color w:val="000008"/>
          <w:spacing w:val="3"/>
          <w:sz w:val="32"/>
          <w:szCs w:val="32"/>
          <w:lang w:val="en-US" w:eastAsia="zh-CN"/>
        </w:rPr>
        <w:t>概念性规划</w:t>
      </w:r>
      <w:r>
        <w:rPr>
          <w:rFonts w:ascii="仿宋_GB2312" w:eastAsia="仿宋_GB2312" w:cs="仿宋_GB2312" w:hAnsi="仿宋_GB2312" w:hint="eastAsia"/>
          <w:b/>
          <w:bCs/>
          <w:color w:val="000008"/>
          <w:spacing w:val="3"/>
          <w:sz w:val="32"/>
          <w:szCs w:val="32"/>
          <w:lang w:val="en-US"/>
        </w:rPr>
        <w:t>》</w:t>
      </w:r>
      <w:r>
        <w:rPr>
          <w:rFonts w:ascii="仿宋_GB2312" w:eastAsia="仿宋_GB2312" w:cs="仿宋_GB2312" w:hAnsi="仿宋_GB2312" w:hint="eastAsia"/>
          <w:b w:val="0"/>
          <w:bCs w:val="0"/>
          <w:color w:val="000008"/>
          <w:spacing w:val="3"/>
          <w:sz w:val="32"/>
          <w:szCs w:val="32"/>
          <w:lang w:val="en-US"/>
        </w:rPr>
        <w:t>（以下简称“</w:t>
      </w:r>
      <w:r>
        <w:rPr>
          <w:rFonts w:ascii="仿宋_GB2312" w:eastAsia="仿宋_GB2312" w:cs="仿宋_GB2312" w:hAnsi="仿宋_GB2312" w:hint="eastAsia"/>
          <w:b w:val="0"/>
          <w:bCs w:val="0"/>
          <w:color w:val="000008"/>
          <w:spacing w:val="3"/>
          <w:sz w:val="32"/>
          <w:szCs w:val="32"/>
          <w:lang w:val="en-US" w:eastAsia="zh-CN"/>
        </w:rPr>
        <w:t>规划</w:t>
      </w:r>
      <w:r>
        <w:rPr>
          <w:rFonts w:ascii="仿宋_GB2312" w:eastAsia="仿宋_GB2312" w:cs="仿宋_GB2312" w:hAnsi="仿宋_GB2312" w:hint="eastAsia"/>
          <w:b w:val="0"/>
          <w:bCs w:val="0"/>
          <w:color w:val="000008"/>
          <w:spacing w:val="3"/>
          <w:sz w:val="32"/>
          <w:szCs w:val="32"/>
          <w:lang w:val="en-US"/>
        </w:rPr>
        <w:t>”</w:t>
      </w:r>
      <w:r>
        <w:rPr>
          <w:rFonts w:ascii="仿宋_GB2312" w:eastAsia="仿宋_GB2312" w:cs="仿宋_GB2312" w:hAnsi="仿宋_GB2312"/>
          <w:b w:val="0"/>
          <w:bCs w:val="0"/>
          <w:color w:val="000008"/>
          <w:spacing w:val="3"/>
          <w:sz w:val="32"/>
          <w:szCs w:val="32"/>
        </w:rPr>
        <w:t>)</w:t>
      </w:r>
      <w:r>
        <w:rPr>
          <w:rFonts w:ascii="仿宋_GB2312" w:eastAsia="仿宋_GB2312" w:cs="仿宋_GB2312" w:hAnsi="仿宋_GB2312" w:hint="eastAsia"/>
          <w:b w:val="0"/>
          <w:bCs w:val="0"/>
          <w:color w:val="000008"/>
          <w:spacing w:val="3"/>
          <w:sz w:val="32"/>
          <w:szCs w:val="32"/>
          <w:lang w:val="en-US"/>
        </w:rPr>
        <w:t>，电子版，共</w:t>
      </w:r>
      <w:r>
        <w:rPr>
          <w:rFonts w:ascii="仿宋_GB2312" w:eastAsia="仿宋_GB2312" w:cs="仿宋_GB2312" w:hAnsi="仿宋_GB2312" w:hint="eastAsia"/>
          <w:b w:val="0"/>
          <w:bCs w:val="0"/>
          <w:color w:val="000008"/>
          <w:spacing w:val="3"/>
          <w:sz w:val="32"/>
          <w:szCs w:val="32"/>
          <w:lang w:val="en-US" w:eastAsia="zh-CN"/>
        </w:rPr>
        <w:t>216</w:t>
      </w:r>
      <w:r>
        <w:rPr>
          <w:rFonts w:ascii="仿宋_GB2312" w:eastAsia="仿宋_GB2312" w:cs="仿宋_GB2312" w:hAnsi="仿宋_GB2312" w:hint="eastAsia"/>
          <w:b w:val="0"/>
          <w:bCs w:val="0"/>
          <w:color w:val="000008"/>
          <w:spacing w:val="3"/>
          <w:sz w:val="32"/>
          <w:szCs w:val="32"/>
          <w:lang w:val="en-US"/>
        </w:rPr>
        <w:t>页。</w:t>
      </w:r>
    </w:p>
    <w:p>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b/>
          <w:bCs/>
          <w:color w:val="000008"/>
          <w:spacing w:val="3"/>
          <w:sz w:val="32"/>
          <w:szCs w:val="32"/>
        </w:rPr>
        <w:t>贵单位</w:t>
      </w:r>
      <w:r>
        <w:rPr>
          <w:rFonts w:ascii="仿宋_GB2312" w:eastAsia="仿宋_GB2312" w:cs="仿宋_GB2312" w:hAnsi="仿宋_GB2312" w:hint="eastAsia"/>
          <w:b/>
          <w:bCs/>
          <w:color w:val="000008"/>
          <w:spacing w:val="3"/>
          <w:sz w:val="32"/>
          <w:szCs w:val="32"/>
          <w:lang w:val="en-US"/>
        </w:rPr>
        <w:t>的诉求</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rPr>
      </w:pPr>
      <w:r>
        <w:rPr>
          <w:rFonts w:ascii="仿宋_GB2312" w:eastAsia="仿宋_GB2312" w:cs="仿宋_GB2312" w:hAnsi="仿宋_GB2312" w:hint="eastAsia"/>
          <w:b w:val="0"/>
          <w:bCs w:val="0"/>
          <w:color w:val="000008"/>
          <w:spacing w:val="3"/>
          <w:sz w:val="32"/>
          <w:szCs w:val="32"/>
          <w:lang w:val="en-US"/>
        </w:rPr>
        <w:t>审查《</w:t>
      </w:r>
      <w:r>
        <w:rPr>
          <w:rFonts w:ascii="仿宋_GB2312" w:eastAsia="仿宋_GB2312" w:cs="仿宋_GB2312" w:hAnsi="仿宋_GB2312" w:hint="eastAsia"/>
          <w:b w:val="0"/>
          <w:bCs w:val="0"/>
          <w:color w:val="000008"/>
          <w:spacing w:val="3"/>
          <w:sz w:val="32"/>
          <w:szCs w:val="32"/>
          <w:lang w:val="en-US" w:eastAsia="zh-CN"/>
        </w:rPr>
        <w:t>规划</w:t>
      </w:r>
      <w:r>
        <w:rPr>
          <w:rFonts w:ascii="仿宋_GB2312" w:eastAsia="仿宋_GB2312" w:cs="仿宋_GB2312" w:hAnsi="仿宋_GB2312" w:hint="eastAsia"/>
          <w:b w:val="0"/>
          <w:bCs w:val="0"/>
          <w:color w:val="000008"/>
          <w:spacing w:val="3"/>
          <w:sz w:val="32"/>
          <w:szCs w:val="32"/>
          <w:lang w:val="en-US"/>
        </w:rPr>
        <w:t>》并提出法律意见</w:t>
      </w:r>
    </w:p>
    <w:p>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法律意见</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w:t>
      </w:r>
      <w:r>
        <w:rPr>
          <w:rFonts w:ascii="仿宋_GB2312" w:eastAsia="仿宋_GB2312" w:cs="仿宋_GB2312" w:hAnsi="仿宋_GB2312" w:hint="eastAsia"/>
          <w:b/>
          <w:bCs/>
          <w:color w:val="000008"/>
          <w:spacing w:val="3"/>
          <w:sz w:val="32"/>
          <w:szCs w:val="32"/>
          <w:lang w:val="en-US" w:eastAsia="zh-CN"/>
        </w:rPr>
        <w:t>一</w:t>
      </w:r>
      <w:r>
        <w:rPr>
          <w:rFonts w:ascii="仿宋_GB2312" w:eastAsia="仿宋_GB2312" w:cs="仿宋_GB2312" w:hAnsi="仿宋_GB2312" w:hint="eastAsia"/>
          <w:b/>
          <w:bCs/>
          <w:color w:val="000008"/>
          <w:spacing w:val="3"/>
          <w:sz w:val="32"/>
          <w:szCs w:val="32"/>
          <w:lang w:val="en-US"/>
        </w:rPr>
        <w:t>）贵单位送审的《</w:t>
      </w:r>
      <w:r>
        <w:rPr>
          <w:rFonts w:ascii="仿宋_GB2312" w:eastAsia="仿宋_GB2312" w:cs="仿宋_GB2312" w:hAnsi="仿宋_GB2312" w:hint="eastAsia"/>
          <w:b/>
          <w:bCs/>
          <w:color w:val="000008"/>
          <w:spacing w:val="3"/>
          <w:sz w:val="32"/>
          <w:szCs w:val="32"/>
          <w:lang w:val="en-US" w:eastAsia="zh-CN"/>
        </w:rPr>
        <w:t>规划</w:t>
      </w:r>
      <w:r>
        <w:rPr>
          <w:rFonts w:ascii="仿宋_GB2312" w:eastAsia="仿宋_GB2312" w:cs="仿宋_GB2312" w:hAnsi="仿宋_GB2312" w:hint="eastAsia"/>
          <w:b/>
          <w:bCs/>
          <w:color w:val="000008"/>
          <w:spacing w:val="3"/>
          <w:sz w:val="32"/>
          <w:szCs w:val="32"/>
          <w:lang w:val="en-US"/>
        </w:rPr>
        <w:t xml:space="preserve">》不属于行政规范性文件，不具有进行合法性审查的基础性和必要性。 </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rPr>
      </w:pPr>
      <w:r>
        <w:rPr>
          <w:rFonts w:ascii="仿宋_GB2312" w:eastAsia="仿宋_GB2312" w:cs="仿宋_GB2312" w:hAnsi="仿宋_GB2312" w:hint="eastAsia"/>
          <w:b w:val="0"/>
          <w:bCs w:val="0"/>
          <w:color w:val="000008"/>
          <w:spacing w:val="3"/>
          <w:sz w:val="32"/>
          <w:szCs w:val="32"/>
          <w:lang w:val="en-US"/>
        </w:rPr>
        <w:t>根据《西藏自治区行政规范性文件制定和备案监督管理办法（修订）》第三条之规定：“本办法所称行政规范性文件是指除政府规章外，由各级行政机关或者经法律法规授权的具有管理公共事务职能的组织按照法定权限、程序制定并公开发布，涉及公民、法人和其他组织权利义务，在本行政区域或管理范围内，具有普遍约束力，在一定期限内反复适用的公文。行政机关内部执行的管理规范、工作制度、机构编制、会议纪要、工作方案、请示报告及表彰奖惩、人事任免等文件，以及规划类文件、专业技术标准类文件和仅下达预算、分配资金、批复项目的文件，不属于行政规范性文件</w:t>
      </w:r>
      <w:r>
        <w:rPr>
          <w:rFonts w:ascii="仿宋_GB2312" w:eastAsia="仿宋_GB2312" w:cs="仿宋_GB2312" w:hAnsi="仿宋_GB2312"/>
          <w:b w:val="0"/>
          <w:bCs w:val="0"/>
          <w:color w:val="000008"/>
          <w:spacing w:val="3"/>
          <w:sz w:val="32"/>
          <w:szCs w:val="32"/>
          <w:lang w:val="en-US"/>
        </w:rPr>
        <w:t>”</w:t>
      </w:r>
      <w:r>
        <w:rPr>
          <w:rFonts w:ascii="仿宋_GB2312" w:eastAsia="仿宋_GB2312" w:cs="仿宋_GB2312" w:hAnsi="仿宋_GB2312" w:hint="eastAsia"/>
          <w:b w:val="0"/>
          <w:bCs w:val="0"/>
          <w:color w:val="000008"/>
          <w:spacing w:val="3"/>
          <w:sz w:val="32"/>
          <w:szCs w:val="32"/>
          <w:lang w:val="en-US"/>
        </w:rPr>
        <w:t>经我所律师进行检索审查后，我所认为</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送审的《</w:t>
      </w:r>
      <w:r>
        <w:rPr>
          <w:rFonts w:ascii="仿宋_GB2312" w:eastAsia="仿宋_GB2312" w:cs="仿宋_GB2312" w:hAnsi="仿宋_GB2312" w:hint="eastAsia"/>
          <w:b w:val="0"/>
          <w:bCs w:val="0"/>
          <w:color w:val="000008"/>
          <w:spacing w:val="3"/>
          <w:sz w:val="32"/>
          <w:szCs w:val="32"/>
          <w:lang w:val="en-US" w:eastAsia="zh-CN"/>
        </w:rPr>
        <w:t>规划</w:t>
      </w:r>
      <w:r>
        <w:rPr>
          <w:rFonts w:ascii="仿宋_GB2312" w:eastAsia="仿宋_GB2312" w:cs="仿宋_GB2312" w:hAnsi="仿宋_GB2312" w:hint="eastAsia"/>
          <w:b w:val="0"/>
          <w:bCs w:val="0"/>
          <w:color w:val="000008"/>
          <w:spacing w:val="3"/>
          <w:sz w:val="32"/>
          <w:szCs w:val="32"/>
          <w:lang w:val="en-US"/>
        </w:rPr>
        <w:t>》不属于《西藏自治区行政规范性文件制定和备案监督管理办法（修订）》第三条规定的“行政规范性文件”，且该《</w:t>
      </w:r>
      <w:r>
        <w:rPr>
          <w:rFonts w:ascii="仿宋_GB2312" w:eastAsia="仿宋_GB2312" w:cs="仿宋_GB2312" w:hAnsi="仿宋_GB2312" w:hint="eastAsia"/>
          <w:b w:val="0"/>
          <w:bCs w:val="0"/>
          <w:color w:val="000008"/>
          <w:spacing w:val="3"/>
          <w:sz w:val="32"/>
          <w:szCs w:val="32"/>
          <w:lang w:val="en-US" w:eastAsia="zh-CN"/>
        </w:rPr>
        <w:t>规划</w:t>
      </w:r>
      <w:r>
        <w:rPr>
          <w:rFonts w:ascii="仿宋_GB2312" w:eastAsia="仿宋_GB2312" w:cs="仿宋_GB2312" w:hAnsi="仿宋_GB2312" w:hint="eastAsia"/>
          <w:b w:val="0"/>
          <w:bCs w:val="0"/>
          <w:color w:val="000008"/>
          <w:spacing w:val="3"/>
          <w:sz w:val="32"/>
          <w:szCs w:val="32"/>
          <w:lang w:val="en-US"/>
        </w:rPr>
        <w:t>》属于</w:t>
      </w:r>
      <w:r>
        <w:rPr>
          <w:rFonts w:ascii="仿宋_GB2312" w:eastAsia="仿宋_GB2312" w:cs="仿宋_GB2312" w:hAnsi="仿宋_GB2312" w:hint="eastAsia"/>
          <w:b w:val="0"/>
          <w:bCs w:val="0"/>
          <w:color w:val="000008"/>
          <w:spacing w:val="3"/>
          <w:sz w:val="32"/>
          <w:szCs w:val="32"/>
          <w:lang w:val="en-US" w:eastAsia="zh-CN"/>
        </w:rPr>
        <w:t>宣传</w:t>
      </w:r>
      <w:r>
        <w:rPr>
          <w:rFonts w:ascii="仿宋_GB2312" w:eastAsia="仿宋_GB2312" w:cs="仿宋_GB2312" w:hAnsi="仿宋_GB2312" w:hint="eastAsia"/>
          <w:b w:val="0"/>
          <w:bCs w:val="0"/>
          <w:color w:val="000008"/>
          <w:spacing w:val="3"/>
          <w:sz w:val="32"/>
          <w:szCs w:val="32"/>
          <w:lang w:val="en-US"/>
        </w:rPr>
        <w:t xml:space="preserve">方案。 </w:t>
      </w:r>
    </w:p>
    <w:p>
      <w:pPr>
        <w:pStyle w:val="15"/>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bCs/>
          <w:color w:val="000008"/>
          <w:spacing w:val="3"/>
          <w:sz w:val="32"/>
          <w:szCs w:val="32"/>
          <w:lang w:val="en-US" w:eastAsia="zh-CN"/>
        </w:rPr>
      </w:pPr>
      <w:r>
        <w:rPr>
          <w:rFonts w:ascii="仿宋_GB2312" w:eastAsia="仿宋_GB2312" w:cs="仿宋_GB2312" w:hAnsi="仿宋_GB2312" w:hint="eastAsia"/>
          <w:b/>
          <w:bCs/>
          <w:color w:val="000008"/>
          <w:spacing w:val="3"/>
          <w:sz w:val="32"/>
          <w:szCs w:val="32"/>
          <w:lang w:val="en-US" w:eastAsia="zh-CN"/>
        </w:rPr>
        <w:t>建议贵单位参照如下对《规划》第28页法条内容进行相应修改调整：</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根据国家林业局、财政部关于印发《国家级公益林区划界定办法》和《国家级公益林管理办法》的通知：</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bCs/>
          <w:color w:val="000008"/>
          <w:spacing w:val="3"/>
          <w:sz w:val="32"/>
          <w:szCs w:val="32"/>
          <w:lang w:val="en-US" w:eastAsia="zh-CN"/>
        </w:rPr>
        <w:t>第十二条</w:t>
      </w:r>
      <w:r>
        <w:rPr>
          <w:rFonts w:ascii="仿宋_GB2312" w:eastAsia="仿宋_GB2312" w:cs="仿宋_GB2312" w:hAnsi="仿宋_GB2312" w:hint="eastAsia"/>
          <w:b w:val="0"/>
          <w:bCs w:val="0"/>
          <w:color w:val="000008"/>
          <w:spacing w:val="3"/>
          <w:sz w:val="32"/>
          <w:szCs w:val="32"/>
          <w:lang w:val="en-US" w:eastAsia="zh-CN"/>
        </w:rPr>
        <w:t>一级国家级公益林原则上不得开展生产经营活动，严禁打枝、采脂、割漆、剥树皮、掘根等行为。</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国有一级国家级公益林，不得开展任何形式的生产经营活动。因教学科研等确需采伐林木，或者发生较为严重森林火灾、病虫害及其他自然灾害等特殊情况确需对受害林木进行清理的，应当组织森林经理学、森林保护学、生态学等领域林业专家进行生态影响评价，经县级以上林业主管部门依法审批后实施。</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集体和个人所有的一级国家级公益林，以严格保护为原则。根据其生态状况需要开展抚育和更新采伐等经营活动，或适宜开展非木质资源培育利用的，应当符合《生态公益林建设导则》（GB/T 18337.1）、《生态公益林建设技术规程》（GB/T 18337.3）、《森林采伐作业规程》（LY/T 1646）、《低效林改造技术规程》（LY/T 1690）和《森林抚育规程》（GB/T 15781）等相关技术规程的规定，并按以下程序实施。</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（一）林权权利人按程序向县级林业主管部门提出书面申请，并编制相应作业设计，在作业设计中要对经营活动的生态影响作出客观评价。</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（二）县级林业主管部门审核同意的，按公示程序和要求在经营活动所在村进行公示。</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（三）公示无异议后，按采伐管理权限由相应林业主管部门依法核发林木采伐许可证。</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（四）县级林业主管部门应当根据需要，由其或者委托相关单位对林权权利人经营活动开展指导和验收。</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bCs/>
          <w:color w:val="000008"/>
          <w:spacing w:val="3"/>
          <w:sz w:val="32"/>
          <w:szCs w:val="32"/>
          <w:lang w:val="en-US" w:eastAsia="zh-CN"/>
        </w:rPr>
        <w:t>第十三条</w:t>
      </w:r>
      <w:r>
        <w:rPr>
          <w:rFonts w:ascii="仿宋_GB2312" w:eastAsia="仿宋_GB2312" w:cs="仿宋_GB2312" w:hAnsi="仿宋_GB2312" w:hint="eastAsia"/>
          <w:b w:val="0"/>
          <w:bCs w:val="0"/>
          <w:color w:val="000008"/>
          <w:spacing w:val="3"/>
          <w:sz w:val="32"/>
          <w:szCs w:val="32"/>
          <w:lang w:val="en-US" w:eastAsia="zh-CN"/>
        </w:rPr>
        <w:t>二级国家级公益林在不影响整体森林生态系统功能发挥的前提下，可以按照第十二条第三款相关技术规程的规定开展抚育和更新性质的采伐。在不破坏森林植被的前提下，可以合理利用其林地资源，适度开展林下种植养殖和森林游憩等非木质资源开发与利用，科学发展林下经济。</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eastAsia="zh-CN"/>
        </w:rPr>
      </w:pPr>
      <w:r>
        <w:rPr>
          <w:rFonts w:ascii="仿宋_GB2312" w:eastAsia="仿宋_GB2312" w:cs="仿宋_GB2312" w:hAnsi="仿宋_GB2312" w:hint="eastAsia"/>
          <w:b w:val="0"/>
          <w:bCs w:val="0"/>
          <w:color w:val="000008"/>
          <w:spacing w:val="3"/>
          <w:sz w:val="32"/>
          <w:szCs w:val="32"/>
          <w:lang w:val="en-US" w:eastAsia="zh-CN"/>
        </w:rPr>
        <w:t>国有二级国家级公益林除执行前款规定外，需要开展抚育和更新采伐或者非木质资源培育利用的，还应当符合森林经营方案的规划，并编制采伐或非木质资源培育利用作业设计，经县级以上林业主管部门依法批准后实施。</w:t>
      </w:r>
    </w:p>
    <w:p>
      <w:pPr>
        <w:pStyle w:val="15"/>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bCs/>
          <w:color w:val="000008"/>
          <w:spacing w:val="3"/>
          <w:sz w:val="32"/>
          <w:szCs w:val="32"/>
          <w:lang w:eastAsia="zh-CN"/>
        </w:rPr>
      </w:pPr>
      <w:r>
        <w:rPr>
          <w:rFonts w:ascii="仿宋_GB2312" w:eastAsia="仿宋_GB2312" w:cs="仿宋_GB2312" w:hAnsi="仿宋_GB2312" w:hint="eastAsia"/>
          <w:b/>
          <w:bCs/>
          <w:color w:val="000008"/>
          <w:spacing w:val="3"/>
          <w:sz w:val="32"/>
          <w:szCs w:val="32"/>
          <w:lang w:val="en-US"/>
        </w:rPr>
        <w:t>经我所律师对贵单位送审的《</w:t>
      </w:r>
      <w:r>
        <w:rPr>
          <w:rFonts w:ascii="仿宋_GB2312" w:eastAsia="仿宋_GB2312" w:cs="仿宋_GB2312" w:hAnsi="仿宋_GB2312" w:hint="eastAsia"/>
          <w:b/>
          <w:bCs/>
          <w:color w:val="000008"/>
          <w:spacing w:val="3"/>
          <w:sz w:val="32"/>
          <w:szCs w:val="32"/>
          <w:lang w:val="en-US" w:eastAsia="zh-CN"/>
        </w:rPr>
        <w:t>规划</w:t>
      </w:r>
      <w:r>
        <w:rPr>
          <w:rFonts w:ascii="仿宋_GB2312" w:eastAsia="仿宋_GB2312" w:cs="仿宋_GB2312" w:hAnsi="仿宋_GB2312" w:hint="eastAsia"/>
          <w:b/>
          <w:bCs/>
          <w:color w:val="000008"/>
          <w:spacing w:val="3"/>
          <w:sz w:val="32"/>
          <w:szCs w:val="32"/>
          <w:lang w:val="en-US"/>
        </w:rPr>
        <w:t>》进行了法律分析，经检索审查，该《</w:t>
      </w:r>
      <w:r>
        <w:rPr>
          <w:rFonts w:ascii="仿宋_GB2312" w:eastAsia="仿宋_GB2312" w:cs="仿宋_GB2312" w:hAnsi="仿宋_GB2312" w:hint="eastAsia"/>
          <w:b/>
          <w:bCs/>
          <w:color w:val="000008"/>
          <w:spacing w:val="3"/>
          <w:sz w:val="32"/>
          <w:szCs w:val="32"/>
          <w:lang w:val="en-US" w:eastAsia="zh-CN"/>
        </w:rPr>
        <w:t>规划</w:t>
      </w:r>
      <w:r>
        <w:rPr>
          <w:rFonts w:ascii="仿宋_GB2312" w:eastAsia="仿宋_GB2312" w:cs="仿宋_GB2312" w:hAnsi="仿宋_GB2312" w:hint="eastAsia"/>
          <w:b/>
          <w:bCs/>
          <w:color w:val="000008"/>
          <w:spacing w:val="3"/>
          <w:sz w:val="32"/>
          <w:szCs w:val="32"/>
          <w:lang w:val="en-US"/>
        </w:rPr>
        <w:t>》并没有违反法律法规规章的禁止性规定</w:t>
      </w:r>
      <w:r>
        <w:rPr>
          <w:rFonts w:ascii="仿宋_GB2312" w:eastAsia="仿宋_GB2312" w:cs="仿宋_GB2312" w:hAnsi="仿宋_GB2312" w:hint="eastAsia"/>
          <w:b/>
          <w:bCs/>
          <w:color w:val="000008"/>
          <w:spacing w:val="3"/>
          <w:sz w:val="32"/>
          <w:szCs w:val="32"/>
          <w:lang w:val="en-US" w:eastAsia="zh-CN"/>
        </w:rPr>
        <w:t>。</w:t>
      </w:r>
    </w:p>
    <w:p>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特别提示</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rPr>
      </w:pPr>
      <w:r>
        <w:rPr>
          <w:rFonts w:ascii="仿宋_GB2312" w:eastAsia="仿宋_GB2312" w:cs="仿宋_GB2312" w:hAnsi="仿宋_GB2312" w:hint="eastAsia"/>
          <w:b w:val="0"/>
          <w:bCs w:val="0"/>
          <w:color w:val="000008"/>
          <w:spacing w:val="3"/>
          <w:sz w:val="32"/>
          <w:szCs w:val="32"/>
          <w:lang w:val="en-US"/>
        </w:rPr>
        <w:t>我所针对</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送审的《</w:t>
      </w:r>
      <w:r>
        <w:rPr>
          <w:rFonts w:ascii="仿宋_GB2312" w:eastAsia="仿宋_GB2312" w:cs="仿宋_GB2312" w:hAnsi="仿宋_GB2312" w:hint="eastAsia"/>
          <w:b w:val="0"/>
          <w:bCs w:val="0"/>
          <w:color w:val="000008"/>
          <w:spacing w:val="3"/>
          <w:sz w:val="32"/>
          <w:szCs w:val="32"/>
          <w:lang w:val="en-US" w:eastAsia="zh-CN"/>
        </w:rPr>
        <w:t>规划</w:t>
      </w:r>
      <w:r>
        <w:rPr>
          <w:rFonts w:ascii="仿宋_GB2312" w:eastAsia="仿宋_GB2312" w:cs="仿宋_GB2312" w:hAnsi="仿宋_GB2312" w:hint="eastAsia"/>
          <w:b w:val="0"/>
          <w:bCs w:val="0"/>
          <w:color w:val="000008"/>
          <w:spacing w:val="3"/>
          <w:sz w:val="32"/>
          <w:szCs w:val="32"/>
          <w:lang w:val="en-US"/>
        </w:rPr>
        <w:t>》提出上述的</w:t>
      </w:r>
      <w:bookmarkStart w:id="0" w:name="_GoBack"/>
      <w:bookmarkEnd w:id="0"/>
      <w:r>
        <w:rPr>
          <w:rFonts w:ascii="仿宋_GB2312" w:eastAsia="仿宋_GB2312" w:cs="仿宋_GB2312" w:hAnsi="仿宋_GB2312" w:hint="eastAsia"/>
          <w:b w:val="0"/>
          <w:bCs w:val="0"/>
          <w:color w:val="000008"/>
          <w:spacing w:val="3"/>
          <w:sz w:val="32"/>
          <w:szCs w:val="32"/>
          <w:lang w:val="en-US"/>
        </w:rPr>
        <w:t>法律意见，供</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参考，不作为</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执行的依据。如</w:t>
      </w:r>
      <w:r>
        <w:rPr>
          <w:rFonts w:ascii="仿宋_GB2312" w:eastAsia="仿宋_GB2312" w:cs="仿宋_GB2312" w:hAnsi="仿宋_GB2312"/>
          <w:b w:val="0"/>
          <w:bCs w:val="0"/>
          <w:color w:val="000008"/>
          <w:spacing w:val="3"/>
          <w:sz w:val="32"/>
          <w:szCs w:val="32"/>
        </w:rPr>
        <w:t>贵单位</w:t>
      </w:r>
      <w:r>
        <w:rPr>
          <w:rFonts w:ascii="仿宋_GB2312" w:eastAsia="仿宋_GB2312" w:cs="仿宋_GB2312" w:hAnsi="仿宋_GB2312" w:hint="eastAsia"/>
          <w:b w:val="0"/>
          <w:bCs w:val="0"/>
          <w:color w:val="000008"/>
          <w:spacing w:val="3"/>
          <w:sz w:val="32"/>
          <w:szCs w:val="32"/>
          <w:lang w:val="en-US"/>
        </w:rPr>
        <w:t>有任何疑义，请及时与我所律师联系。</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200" w:firstLine="652"/>
        <w:jc w:val="both"/>
        <w:textAlignment w:val="baseline"/>
        <w:outlineLvl w:val="9"/>
        <w:rPr>
          <w:rFonts w:ascii="仿宋_GB2312" w:eastAsia="仿宋_GB2312" w:cs="仿宋_GB2312" w:hAnsi="仿宋_GB2312" w:hint="eastAsia"/>
          <w:b w:val="0"/>
          <w:bCs w:val="0"/>
          <w:color w:val="000008"/>
          <w:spacing w:val="3"/>
          <w:sz w:val="32"/>
          <w:szCs w:val="32"/>
          <w:lang w:val="en-US"/>
        </w:rPr>
      </w:pP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outlineLvl w:val="9"/>
        <w:rPr>
          <w:rFonts w:ascii="仿宋_GB2312" w:eastAsia="仿宋_GB2312" w:cs="仿宋_GB2312" w:hAnsi="仿宋_GB2312" w:hint="eastAsia"/>
          <w:b w:val="0"/>
          <w:bCs w:val="0"/>
          <w:color w:val="000008"/>
          <w:spacing w:val="3"/>
          <w:sz w:val="32"/>
          <w:szCs w:val="32"/>
          <w:lang w:val="en-US"/>
        </w:rPr>
      </w:pP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1600" w:firstLine="5216"/>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西藏国昂律师事务所</w:t>
      </w:r>
    </w:p>
    <w:p>
      <w:pPr>
        <w:pStyle w:val="15"/>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Chars="1600" w:firstLine="5216"/>
        <w:jc w:val="both"/>
        <w:textAlignment w:val="baseline"/>
        <w:outlineLvl w:val="9"/>
        <w:rPr>
          <w:rFonts w:ascii="仿宋_GB2312" w:eastAsia="仿宋_GB2312" w:cs="仿宋_GB2312" w:hAnsi="仿宋_GB2312" w:hint="eastAsia"/>
          <w:b/>
          <w:bCs/>
          <w:color w:val="000008"/>
          <w:spacing w:val="3"/>
          <w:sz w:val="32"/>
          <w:szCs w:val="32"/>
          <w:lang w:val="en-US"/>
        </w:rPr>
      </w:pPr>
      <w:r>
        <w:rPr>
          <w:rFonts w:ascii="仿宋_GB2312" w:eastAsia="仿宋_GB2312" w:cs="仿宋_GB2312" w:hAnsi="仿宋_GB2312" w:hint="eastAsia"/>
          <w:b/>
          <w:bCs/>
          <w:color w:val="000008"/>
          <w:spacing w:val="3"/>
          <w:sz w:val="32"/>
          <w:szCs w:val="32"/>
          <w:lang w:val="en-US"/>
        </w:rPr>
        <w:t>二</w:t>
      </w:r>
      <w:r>
        <w:rPr>
          <w:rFonts w:ascii="仿宋_GB2312" w:eastAsia="仿宋_GB2312" w:cs="仿宋_GB2312" w:hAnsi="仿宋_GB2312"/>
          <w:b/>
          <w:bCs/>
          <w:color w:val="000008"/>
          <w:spacing w:val="3"/>
          <w:sz w:val="32"/>
          <w:szCs w:val="32"/>
        </w:rPr>
        <w:t>0</w:t>
      </w:r>
      <w:r>
        <w:rPr>
          <w:rFonts w:ascii="仿宋_GB2312" w:eastAsia="仿宋_GB2312" w:cs="仿宋_GB2312" w:hAnsi="仿宋_GB2312" w:hint="eastAsia"/>
          <w:b/>
          <w:bCs/>
          <w:color w:val="000008"/>
          <w:spacing w:val="3"/>
          <w:sz w:val="32"/>
          <w:szCs w:val="32"/>
          <w:lang w:val="en-US"/>
        </w:rPr>
        <w:t>二</w:t>
      </w:r>
      <w:r>
        <w:rPr>
          <w:rFonts w:ascii="仿宋_GB2312" w:eastAsia="仿宋_GB2312" w:cs="仿宋_GB2312" w:hAnsi="仿宋_GB2312" w:hint="eastAsia"/>
          <w:b/>
          <w:bCs/>
          <w:color w:val="000008"/>
          <w:spacing w:val="3"/>
          <w:sz w:val="32"/>
          <w:szCs w:val="32"/>
          <w:lang w:val="en-US" w:eastAsia="zh-CN"/>
        </w:rPr>
        <w:t>五</w:t>
      </w:r>
      <w:r>
        <w:rPr>
          <w:rFonts w:ascii="仿宋_GB2312" w:eastAsia="仿宋_GB2312" w:cs="仿宋_GB2312" w:hAnsi="仿宋_GB2312" w:hint="eastAsia"/>
          <w:b/>
          <w:bCs/>
          <w:color w:val="000008"/>
          <w:spacing w:val="3"/>
          <w:sz w:val="32"/>
          <w:szCs w:val="32"/>
          <w:lang w:val="en-US"/>
        </w:rPr>
        <w:t>年</w:t>
      </w:r>
      <w:r>
        <w:rPr>
          <w:rFonts w:ascii="仿宋_GB2312" w:eastAsia="仿宋_GB2312" w:cs="仿宋_GB2312" w:hAnsi="仿宋_GB2312"/>
          <w:b/>
          <w:bCs/>
          <w:color w:val="000008"/>
          <w:spacing w:val="3"/>
          <w:sz w:val="32"/>
          <w:szCs w:val="32"/>
          <w:lang w:val="en-US"/>
        </w:rPr>
        <w:t>三</w:t>
      </w:r>
      <w:r>
        <w:rPr>
          <w:rFonts w:ascii="仿宋_GB2312" w:eastAsia="仿宋_GB2312" w:cs="仿宋_GB2312" w:hAnsi="仿宋_GB2312" w:hint="eastAsia"/>
          <w:b/>
          <w:bCs/>
          <w:color w:val="000008"/>
          <w:spacing w:val="3"/>
          <w:sz w:val="32"/>
          <w:szCs w:val="32"/>
          <w:lang w:val="en-US"/>
        </w:rPr>
        <w:t>月</w:t>
      </w:r>
      <w:r>
        <w:rPr>
          <w:rFonts w:ascii="仿宋_GB2312" w:eastAsia="仿宋_GB2312" w:cs="仿宋_GB2312" w:hAnsi="仿宋_GB2312"/>
          <w:b/>
          <w:bCs/>
          <w:color w:val="000008"/>
          <w:spacing w:val="3"/>
          <w:sz w:val="32"/>
          <w:szCs w:val="32"/>
          <w:lang w:val="en-US" w:eastAsia="zh-CN"/>
        </w:rPr>
        <w:t>十八</w:t>
      </w:r>
      <w:r>
        <w:rPr>
          <w:rFonts w:ascii="仿宋_GB2312" w:eastAsia="仿宋_GB2312" w:cs="仿宋_GB2312" w:hAnsi="仿宋_GB2312" w:hint="eastAsia"/>
          <w:b/>
          <w:bCs/>
          <w:color w:val="000008"/>
          <w:spacing w:val="3"/>
          <w:sz w:val="32"/>
          <w:szCs w:val="32"/>
          <w:lang w:val="en-US"/>
        </w:rPr>
        <w:t>日</w:t>
      </w:r>
    </w:p>
    <w:sectPr>
      <w:headerReference w:type="default" r:id="rId2"/>
      <w:footerReference w:type="default" r:id="rId3"/>
      <w:pgSz w:w="11906" w:h="16839"/>
      <w:pgMar w:top="962" w:right="1684" w:bottom="1172" w:left="1778" w:header="0" w:footer="1417" w:gutter="0"/>
      <w:pgNumType/>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黑体">
    <w:altName w:val="汉仪中黑KW"/>
    <w:panose1 w:val="02010609060101010101"/>
    <w:charset w:val="86"/>
    <w:family w:val="auto"/>
    <w:pitch w:val="variable"/>
    <w:sig w:usb0="800002BF" w:usb1="38CF7CFA" w:usb2="00000016" w:usb3="00000000" w:csb0="00040001" w:csb1="00000000"/>
  </w:font>
  <w:font w:name="仿宋_GB2312">
    <w:altName w:val="方正仿宋_GBK"/>
    <w:panose1 w:val="00000000000000000000"/>
    <w:charset w:val="00"/>
    <w:family w:val="auto"/>
    <w:pitch w:val="variable"/>
    <w:sig w:usb0="00000000" w:usb1="00000000" w:usb2="00000000" w:usb3="00000000" w:csb0="00000000" w:csb1="00000000"/>
  </w:font>
  <w:font w:name="Times New Roman">
    <w:panose1 w:val="02020603050405020304"/>
    <w:charset w:val="CC"/>
    <w:family w:val="roman"/>
    <w:pitch w:val="variable"/>
    <w:sig w:usb0="E0002AEF" w:usb1="C0007841" w:usb2="00000009" w:usb3="00000000" w:csb0="400001FF" w:csb1="FFFF0000"/>
  </w:font>
  <w:font w:name="宋体">
    <w:altName w:val="汉仪书宋二KW"/>
    <w:panose1 w:val="00000000000000000000"/>
    <w:charset w:val="86"/>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20000001" w:csb1="00000000"/>
  </w:font>
  <w:font w:name="Arial">
    <w:panose1 w:val="020B0604020202090204"/>
    <w:charset w:val="01"/>
    <w:family w:val="swiss"/>
    <w:pitch w:val="variable"/>
    <w:sig w:usb0="E0000AFF" w:usb1="00007843" w:usb2="00000001" w:usb3="00000000" w:csb0="400001BF" w:csb1="DFF70000"/>
  </w:font>
  <w:font w:name="微软雅黑">
    <w:altName w:val="汉仪旗黑"/>
    <w:panose1 w:val="00000000000000000000"/>
    <w:charset w:val="00"/>
    <w:family w:val="auto"/>
    <w:pitch w:val="variable"/>
    <w:sig w:usb0="00000000" w:usb1="00000000" w:usb2="00000000" w:usb3="00000000" w:csb0="00000000" w:csb1="00000000"/>
  </w:font>
  <w:font w:name="DejaVu Sans">
    <w:altName w:val="苹方-简"/>
    <w:panose1 w:val="02020603050405020304"/>
    <w:charset w:val="00"/>
    <w:family w:val="roman"/>
    <w:pitch w:val="variable"/>
    <w:sig w:usb0="00000000" w:usb1="0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spacing w:line="170" w:lineRule="auto"/>
      <w:ind w:left="3495"/>
      <w:rPr>
        <w:sz w:val="18"/>
        <w:szCs w:val="18"/>
      </w:rPr>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743117" cy="148232"/>
              <wp:effectExtent l="0" t="0" r="0" b="0"/>
              <wp:wrapNone/>
              <wp:docPr id="3" name="文本框 3"/>
              <wp:cNvGraphicFramePr>
                <a:graphicFrameLocks noChangeAspect="0"/>
              </wp:cNvGraphicFramePr>
              <a:graphic>
                <a:graphicData uri="http://schemas.microsoft.com/office/word/2010/wordprocessingShape">
                  <wps:wsp>
                    <wps:cNvSpPr/>
                    <wps:spPr>
                      <a:xfrm rot="0">
                        <a:off x="0" y="0"/>
                        <a:ext cx="743117" cy="148232"/>
                      </a:xfrm>
                      <a:prstGeom prst="rect"/>
                      <a:noFill/>
                      <a:ln w="6350" cmpd="sng" cap="flat">
                        <a:noFill/>
                        <a:prstDash val="solid"/>
                        <a:round/>
                      </a:ln>
                    </wps:spPr>
                    <wps:txbx id="3">
                      <w:txbxContent>
                        <w:p>
                          <w:pPr>
                            <w:adjustRightInd w:val="0"/>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w:t>
                          </w:r>
                          <w:r>
                            <w:rPr>
                              <w:sz w:val="18"/>
                            </w:rPr>
                            <w:fldChar w:fldCharType="end"/>
                          </w:r>
                          <w:r>
                            <w:rPr>
                              <w:sz w:val="18"/>
                            </w:rPr>
                            <w:t xml:space="preserve"> 页</w:t>
                          </w:r>
                        </w:p>
                      </w:txbxContent>
                    </wps:txbx>
                    <wps:bodyPr vert="horz" wrap="none" lIns="0" tIns="0" rIns="0" bIns="0" anchor="t" anchorCtr="0" upright="0">
                      <a:spAutoFit/>
                    </wps:bodyPr>
                  </wps:wsp>
                </a:graphicData>
              </a:graphic>
            </wp:anchor>
          </w:drawing>
        </mc:Choice>
        <mc:Fallback>
          <w:pict>
            <v:rect type="#_x0000_t1" id="文本框 3" o:spid="_x0000_s4" filled="f" stroked="f" strokeweight="0.5pt" style="position:absolute;margin-left:0.0pt;margin-top:0.0pt;width:58.513184pt;height:11.671875pt;z-index:15;mso-position-horizontal:center;mso-position-horizontal-relative:margin;mso-position-vertical:absolute;mso-wrap-style:none;">
              <v:stroke/>
              <v:textbox id="849" inset="0mm,0mm,0mm,0mm" o:insetmode="custom" style="layout-flow:horizontal;v-text-anchor:top;mso-fit-shape-to-text:t;">
                <w:txbxContent>
                  <w:p>
                    <w:pPr>
                      <w:adjustRightInd w:val="0"/>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w:t>
                    </w:r>
                    <w:r>
                      <w:rPr>
                        <w:sz w:val="18"/>
                      </w:rPr>
                      <w:fldChar w:fldCharType="end"/>
                    </w:r>
                    <w:r>
                      <w:rPr>
                        <w:sz w:val="18"/>
                      </w:rPr>
                      <w:t xml:space="preserve"> 页</w:t>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p>
    <w:pPr>
      <w:pStyle w:val="16"/>
      <w:tabs>
        <w:tab w:val="center" w:pos="4153"/>
        <w:tab w:val="right" w:pos="8306"/>
      </w:tabs>
    </w:pPr>
  </w:p>
  <w:p>
    <w:pPr>
      <w:pStyle w:val="16"/>
      <w:tabs>
        <w:tab w:val="center" w:pos="4153"/>
        <w:tab w:val="right" w:pos="8306"/>
      </w:tabs>
    </w:pPr>
  </w:p>
  <w:p>
    <w:pPr>
      <w:pStyle w:val="16"/>
      <w:tabs>
        <w:tab w:val="center" w:pos="4153"/>
        <w:tab w:val="right" w:pos="8306"/>
      </w:tabs>
      <w:bidi w:val="0"/>
    </w:pPr>
    <w:r>
      <w:drawing>
        <wp:inline distT="0" distB="0" distL="0" distR="0">
          <wp:extent cx="5675630" cy="948690"/>
          <wp:effectExtent l="0" t="0" r="13970" b="16510"/>
          <wp:docPr id="4" name="IM 2"/>
          <wp:cNvGraphicFramePr>
            <a:graphicFrameLocks noChangeAspect="0"/>
          </wp:cNvGraphicFramePr>
          <a:graphic>
            <a:graphicData uri="http://schemas.openxmlformats.org/drawingml/2006/picture">
              <pic:pic>
                <pic:nvPicPr>
                  <pic:cNvPr id="2" name="IM 2 2"/>
                  <pic:cNvPicPr/>
                </pic:nvPicPr>
                <pic:blipFill>
                  <a:blip r:embed="rId1"/>
                  <a:stretch>
                    <a:fillRect/>
                  </a:stretch>
                </pic:blipFill>
                <pic:spPr>
                  <a:xfrm rot="0">
                    <a:off x="0" y="0"/>
                    <a:ext cx="5675630" cy="948690"/>
                  </a:xfrm>
                  <a:prstGeom prst="rect"/>
                  <a:noFill/>
                  <a:ln w="9525" cmpd="sng" cap="flat">
                    <a:noFill/>
                    <a:prstDash val="solid"/>
                    <a:miter/>
                  </a:ln>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6B1D9EC"/>
    <w:multiLevelType w:val="singleLevel"/>
    <w:tmpl w:val="66B1D9EC"/>
    <w:lvl w:ilvl="0">
      <w:start w:val="1"/>
      <w:numFmt w:val="chineseCounting"/>
      <w:lvlRestart w:val="0"/>
      <w:suff w:val="nothing"/>
      <w:lvlText w:val="%1、"/>
      <w:lvlJc w:val="left"/>
      <w:pPr/>
    </w:lvl>
  </w:abstractNum>
  <w:abstractNum w:abstractNumId="1">
    <w:nsid w:val="FDFE1603"/>
    <w:multiLevelType w:val="singleLevel"/>
    <w:tmpl w:val="FDFE1603"/>
    <w:lvl w:ilvl="0">
      <w:start w:val="2"/>
      <w:numFmt w:val="chineseCounting"/>
      <w:lvlRestart w:val="0"/>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efaultTabStop w:val="420"/>
  <w:drawingGridHorizontalSpacing w:val="105"/>
  <w:drawingGridVerticalSpacing w:val="156"/>
  <w:displayHorizontalDrawingGridEvery w:val="1"/>
  <w:displayVerticalDrawingGridEvery w:val="1"/>
  <w:noPunctuationKerning/>
  <w:compat>
    <w:spaceForUL/>
    <w:ulTrailSpace/>
    <w:doNotExpandShiftReturn/>
    <w:doNotUseIndentAsNumberingTabStop/>
    <w:useAltKinsokuLineBreakRules/>
    <w:compatSetting w:name="compatibilityMode" w:uri="http://schemas.microsoft.com/office/word" w:val="14"/>
  </w:compat>
  <w:docVars>
    <w:docVar w:name="commondata" w:val="eyJoZGlkIjoiOGY2YTdlZDk1YmJhNjNmZTFkMWZmZTA2ZWYyMDdjMjc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Arial" w:eastAsia="Arial" w:cs="Arial" w:hAnsi="Arial"/>
      <w:b/>
      <w:bCs/>
      <w:snapToGrid w:val="0"/>
      <w:color w:val="000000"/>
      <w:kern w:val="44"/>
      <w:sz w:val="44"/>
      <w:szCs w:val="44"/>
      <w:lang w:val="en-US"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Arial"/>
      <w:b/>
      <w:bCs/>
      <w:snapToGrid w:val="0"/>
      <w:color w:val="000000"/>
      <w:kern w:val="0"/>
      <w:sz w:val="32"/>
      <w:szCs w:val="32"/>
      <w:lang w:val="en-US"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Arial" w:eastAsia="Arial" w:cs="Arial" w:hAnsi="Arial"/>
      <w:b/>
      <w:bCs/>
      <w:snapToGrid w:val="0"/>
      <w:color w:val="000000"/>
      <w:kern w:val="0"/>
      <w:sz w:val="32"/>
      <w:szCs w:val="32"/>
      <w:lang w:val="en-US" w:bidi="ar-SA"/>
    </w:rPr>
  </w:style>
  <w:style w:type="character" w:default="1" w:styleId="10">
    <w:name w:val="Default Paragraph Font"/>
    <w:qFormat/>
  </w:style>
  <w:style w:type="paragraph" w:styleId="15">
    <w:name w:val="Body Text"/>
    <w:qFormat/>
    <w:basedOn w:val="0"/>
    <w:rPr>
      <w:rFonts w:ascii="微软雅黑" w:eastAsia="微软雅黑" w:cs="微软雅黑" w:hAnsi="微软雅黑"/>
      <w:sz w:val="28"/>
      <w:szCs w:val="28"/>
      <w:lang w:val="en-US" w:bidi="ar-SA"/>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adjustRightInd w:val="0"/>
      <w:snapToGrid w:val="0"/>
      <w:spacing w:line="240" w:lineRule="auto"/>
      <w:jc w:val="both"/>
      <w:outlineLvl w:val="9"/>
    </w:pPr>
    <w:rPr>
      <w:rFonts w:ascii="DejaVu Sans" w:hAnsi="DejaVu Sans"/>
      <w:sz w:val="18"/>
    </w:rPr>
  </w:style>
  <w:style w:type="paragraph" w:styleId="17">
    <w:name w:val="footnote text"/>
    <w:qFormat/>
    <w:basedOn w:val="0"/>
    <w:pPr>
      <w:adjustRightInd w:val="0"/>
      <w:snapToGrid w:val="0"/>
      <w:jc w:val="left"/>
    </w:pPr>
    <w:rPr>
      <w:sz w:val="18"/>
    </w:rPr>
  </w:style>
  <w:style w:type="paragraph" w:styleId="18">
    <w:name w:val="Normal (Web)"/>
    <w:qFormat/>
    <w:basedOn w:val="0"/>
    <w:rPr>
      <w:sz w:val="24"/>
    </w:rPr>
  </w:style>
  <w:style w:type="character" w:styleId="19">
    <w:name w:val="footnote reference"/>
    <w:qFormat/>
    <w:basedOn w:val="10"/>
    <w:rPr>
      <w:vertAlign w:val="superscript"/>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1.png"/></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72D0972-4A05-4FA1-9976-E0467BF478B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TotalTime>
  <Application>Yozo_Office27021597764231189</Application>
  <Pages>4</Pages>
  <Words>0</Words>
  <Characters>1209</Characters>
  <Lines>0</Lines>
  <Paragraphs>28</Paragraphs>
  <CharactersWithSpaces>1613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danzengcibai</dc:creator>
  <cp:lastModifiedBy>user</cp:lastModifiedBy>
  <cp:revision>0</cp:revision>
  <dcterms:created xsi:type="dcterms:W3CDTF">2024-08-02T04:31:00Z</dcterms:created>
  <dcterms:modified xsi:type="dcterms:W3CDTF">2025-06-09T02:19:16Z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wqlLaW5nc29mdCBQREYgdG8gV1BTIDEwMA</vt:lpwstr>
  </property>
  <property fmtid="{D5CDD505-2E9C-101B-9397-08002B2CF9AE}" pid="3" name="Created">
    <vt:filetime>2024-08-05T16:00:00Z</vt:filetime>
  </property>
  <property fmtid="{D5CDD505-2E9C-101B-9397-08002B2CF9AE}" pid="4" name="KSOProductBuildVer">
    <vt:lpwstr>2052-6.11.0.8885</vt:lpwstr>
  </property>
  <property fmtid="{D5CDD505-2E9C-101B-9397-08002B2CF9AE}" pid="5" name="ICV">
    <vt:lpwstr>85F3A26D32714A7A9A5F4268D6295EF8_43</vt:lpwstr>
  </property>
</Properties>
</file>