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林周县松盘乡人民政府2019年度部门预算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right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cs="宋体" w:asciiTheme="minorEastAsia" w:hAnsiTheme="minorEastAsia"/>
          <w:color w:val="333333"/>
          <w:kern w:val="0"/>
          <w:sz w:val="32"/>
        </w:rPr>
      </w:pPr>
      <w:r>
        <w:rPr>
          <w:rFonts w:hint="eastAsia" w:cs="宋体" w:asciiTheme="minorEastAsia" w:hAnsiTheme="minorEastAsia"/>
          <w:color w:val="333333"/>
          <w:kern w:val="0"/>
          <w:sz w:val="32"/>
          <w:u w:val="single"/>
        </w:rPr>
        <w:t xml:space="preserve">2019 </w:t>
      </w:r>
      <w:r>
        <w:rPr>
          <w:rFonts w:hint="eastAsia" w:cs="宋体" w:asciiTheme="minorEastAsia" w:hAnsiTheme="minorEastAsia"/>
          <w:color w:val="333333"/>
          <w:kern w:val="0"/>
          <w:sz w:val="32"/>
        </w:rPr>
        <w:t xml:space="preserve">年 </w:t>
      </w:r>
      <w:r>
        <w:rPr>
          <w:rFonts w:hint="eastAsia" w:cs="宋体" w:asciiTheme="minorEastAsia" w:hAnsiTheme="minorEastAsia"/>
          <w:color w:val="333333"/>
          <w:kern w:val="0"/>
          <w:sz w:val="32"/>
          <w:u w:val="single"/>
        </w:rPr>
        <w:t>4</w:t>
      </w:r>
      <w:r>
        <w:rPr>
          <w:rFonts w:hint="eastAsia" w:cs="宋体" w:asciiTheme="minorEastAsia" w:hAnsiTheme="minorEastAsia"/>
          <w:color w:val="333333"/>
          <w:kern w:val="0"/>
          <w:sz w:val="32"/>
        </w:rPr>
        <w:t xml:space="preserve"> 月</w:t>
      </w:r>
      <w:r>
        <w:rPr>
          <w:rFonts w:hint="eastAsia" w:cs="宋体" w:asciiTheme="minorEastAsia" w:hAnsiTheme="minorEastAsia"/>
          <w:color w:val="333333"/>
          <w:kern w:val="0"/>
          <w:sz w:val="32"/>
          <w:u w:val="single"/>
        </w:rPr>
        <w:t xml:space="preserve"> 18</w:t>
      </w:r>
      <w:r>
        <w:rPr>
          <w:rFonts w:hint="eastAsia" w:cs="宋体" w:asciiTheme="minorEastAsia" w:hAnsiTheme="minorEastAsia"/>
          <w:color w:val="333333"/>
          <w:kern w:val="0"/>
          <w:sz w:val="32"/>
        </w:rPr>
        <w:t>日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spacing w:after="480" w:line="480" w:lineRule="auto"/>
        <w:rPr>
          <w:rFonts w:ascii="微软雅黑" w:hAnsi="微软雅黑" w:eastAsia="微软雅黑" w:cs="宋体"/>
          <w:b/>
          <w:bCs/>
          <w:color w:val="333333"/>
          <w:kern w:val="0"/>
          <w:sz w:val="42"/>
          <w:szCs w:val="42"/>
        </w:rPr>
      </w:pPr>
    </w:p>
    <w:p>
      <w:pPr>
        <w:widowControl/>
        <w:shd w:val="clear" w:color="auto" w:fill="FFFFFF"/>
        <w:spacing w:after="480" w:line="480" w:lineRule="auto"/>
        <w:jc w:val="center"/>
        <w:rPr>
          <w:rFonts w:asciiTheme="minorEastAsia" w:hAnsiTheme="minorEastAsia" w:cstheme="minorHAnsi"/>
          <w:b/>
          <w:bCs/>
          <w:color w:val="333333"/>
          <w:kern w:val="0"/>
          <w:sz w:val="40"/>
          <w:szCs w:val="40"/>
        </w:rPr>
      </w:pPr>
    </w:p>
    <w:p>
      <w:pPr>
        <w:widowControl/>
        <w:shd w:val="clear" w:color="auto" w:fill="FFFFFF"/>
        <w:spacing w:after="480" w:line="480" w:lineRule="auto"/>
        <w:jc w:val="center"/>
        <w:rPr>
          <w:rFonts w:asciiTheme="minorEastAsia" w:hAnsiTheme="minorEastAsia" w:cstheme="minorHAnsi"/>
          <w:color w:val="333333"/>
          <w:kern w:val="0"/>
          <w:sz w:val="40"/>
          <w:szCs w:val="40"/>
        </w:rPr>
      </w:pPr>
      <w:r>
        <w:rPr>
          <w:rFonts w:asciiTheme="minorEastAsia" w:hAnsiTheme="minorEastAsia" w:cstheme="minorHAnsi"/>
          <w:b/>
          <w:bCs/>
          <w:color w:val="333333"/>
          <w:kern w:val="0"/>
          <w:sz w:val="40"/>
          <w:szCs w:val="40"/>
        </w:rPr>
        <w:t>目 </w:t>
      </w:r>
      <w:r>
        <w:rPr>
          <w:rFonts w:asciiTheme="minorEastAsia" w:cstheme="minorHAnsi"/>
          <w:b/>
          <w:bCs/>
          <w:color w:val="333333"/>
          <w:kern w:val="0"/>
          <w:sz w:val="40"/>
          <w:szCs w:val="40"/>
        </w:rPr>
        <w:t> </w:t>
      </w:r>
      <w:r>
        <w:rPr>
          <w:rFonts w:asciiTheme="minorEastAsia" w:hAnsiTheme="minorEastAsia" w:cstheme="minorHAnsi"/>
          <w:b/>
          <w:bCs/>
          <w:color w:val="333333"/>
          <w:kern w:val="0"/>
          <w:sz w:val="40"/>
          <w:szCs w:val="40"/>
        </w:rPr>
        <w:t>录</w:t>
      </w:r>
    </w:p>
    <w:p>
      <w:pPr>
        <w:widowControl/>
        <w:shd w:val="clear" w:color="auto" w:fill="FFFFFF"/>
        <w:spacing w:after="480" w:line="480" w:lineRule="auto"/>
        <w:rPr>
          <w:rFonts w:asciiTheme="minorEastAsia" w:hAnsiTheme="minorEastAsia" w:cstheme="minorHAnsi"/>
          <w:color w:val="333333"/>
          <w:kern w:val="0"/>
          <w:sz w:val="40"/>
          <w:szCs w:val="40"/>
        </w:rPr>
      </w:pPr>
      <w:r>
        <w:rPr>
          <w:rFonts w:hint="eastAsia" w:ascii="黑体" w:hAnsi="宋体" w:eastAsia="黑体" w:cs="Times New Roman"/>
          <w:sz w:val="32"/>
          <w:lang w:bidi="ar-SA"/>
        </w:rPr>
        <w:t>第一部分  林周县松盘乡人民政府概况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一、部门预算单位构成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 xml:space="preserve">二、部门职责和机构设置 </w:t>
      </w:r>
    </w:p>
    <w:p>
      <w:pPr>
        <w:spacing w:beforeLines="100" w:afterLines="100" w:line="460" w:lineRule="exact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第二部分 林周县松盘乡人民政府2019年度部门预算表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一、收支预算总表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二、收入预算总表表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三、收支预算总表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四、财政拨款收支预算总表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五、一般公共预算财政拨款支出预算表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六、一般公共预算财政拨款基本支出预算表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七、一般公共预算财政拨款相关经费支出预算表</w:t>
      </w:r>
    </w:p>
    <w:p>
      <w:pPr>
        <w:spacing w:beforeLines="100" w:afterLines="100" w:line="460" w:lineRule="exact"/>
        <w:rPr>
          <w:rFonts w:ascii="仿宋" w:hAnsi="仿宋" w:eastAsia="仿宋" w:cs="Times New Roman"/>
          <w:sz w:val="32"/>
          <w:lang w:bidi="ar-SA"/>
        </w:rPr>
      </w:pPr>
      <w:r>
        <w:rPr>
          <w:rFonts w:hint="eastAsia" w:ascii="仿宋" w:hAnsi="仿宋" w:eastAsia="仿宋" w:cs="Times New Roman"/>
          <w:sz w:val="32"/>
          <w:lang w:bidi="ar-SA"/>
        </w:rPr>
        <w:t>八、政府性基金预算财政拨款收支预算表</w:t>
      </w:r>
    </w:p>
    <w:p>
      <w:pPr>
        <w:spacing w:line="500" w:lineRule="exact"/>
        <w:contextualSpacing/>
        <w:rPr>
          <w:rFonts w:hint="eastAsia" w:ascii="黑体" w:hAnsi="宋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第三部分  林周县松盘乡人民政府2019年度部门预算</w:t>
      </w:r>
      <w:r>
        <w:rPr>
          <w:rFonts w:hint="eastAsia" w:ascii="黑体" w:hAnsi="宋体" w:eastAsia="黑体" w:cs="Times New Roman"/>
          <w:sz w:val="32"/>
          <w:lang w:bidi="ar-SA"/>
        </w:rPr>
        <w:t>情况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一、2019年度</w:t>
      </w:r>
      <w:r>
        <w:rPr>
          <w:rFonts w:ascii="仿宋_GB2312" w:hAnsi="宋体" w:eastAsia="仿宋_GB2312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sz w:val="32"/>
          <w:szCs w:val="32"/>
        </w:rPr>
        <w:t>收支总体情况说明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二、2019年度</w:t>
      </w:r>
      <w:r>
        <w:rPr>
          <w:rFonts w:ascii="仿宋_GB2312" w:hAnsi="宋体" w:eastAsia="仿宋_GB2312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sz w:val="32"/>
          <w:szCs w:val="32"/>
        </w:rPr>
        <w:t>收入情况说明</w:t>
      </w:r>
    </w:p>
    <w:p>
      <w:pPr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三、2019年度</w:t>
      </w:r>
      <w:r>
        <w:rPr>
          <w:rFonts w:ascii="仿宋_GB2312" w:hAnsi="宋体" w:eastAsia="仿宋_GB2312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sz w:val="32"/>
          <w:szCs w:val="32"/>
        </w:rPr>
        <w:t>支出情况说明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四、2019年度</w:t>
      </w:r>
      <w:r>
        <w:rPr>
          <w:rFonts w:ascii="仿宋_GB2312" w:hAnsi="宋体" w:eastAsia="仿宋_GB2312"/>
          <w:sz w:val="32"/>
          <w:szCs w:val="32"/>
        </w:rPr>
        <w:t>一般公共预算</w:t>
      </w:r>
      <w:r>
        <w:rPr>
          <w:rFonts w:hint="eastAsia" w:ascii="仿宋_GB2312" w:hAnsi="宋体" w:eastAsia="仿宋_GB2312"/>
          <w:sz w:val="32"/>
          <w:szCs w:val="32"/>
        </w:rPr>
        <w:t xml:space="preserve">财政拨款支出情况说明 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五、2019年度“三公”及</w:t>
      </w:r>
      <w:r>
        <w:rPr>
          <w:rFonts w:ascii="仿宋_GB2312" w:hAnsi="宋体" w:eastAsia="仿宋_GB2312"/>
          <w:sz w:val="32"/>
          <w:szCs w:val="32"/>
        </w:rPr>
        <w:t>相关</w:t>
      </w:r>
      <w:r>
        <w:rPr>
          <w:rFonts w:hint="eastAsia" w:ascii="仿宋_GB2312" w:hAnsi="宋体" w:eastAsia="仿宋_GB2312"/>
          <w:sz w:val="32"/>
          <w:szCs w:val="32"/>
        </w:rPr>
        <w:t>经费预预算情况说明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六、2019年度机关运行情况说明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七、政府采购情况说明</w:t>
      </w:r>
    </w:p>
    <w:p>
      <w:pPr>
        <w:adjustRightInd w:val="0"/>
        <w:spacing w:line="6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八、国有资产占有使用情况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九、预算绩效情况说明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十、政府性债务情况说明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十一、扶贫资金情况说明</w:t>
      </w:r>
    </w:p>
    <w:p>
      <w:pPr>
        <w:kinsoku w:val="0"/>
        <w:overflowPunct w:val="0"/>
        <w:spacing w:line="500" w:lineRule="exact"/>
        <w:ind w:firstLine="640" w:firstLineChars="200"/>
        <w:contextualSpacing/>
        <w:rPr>
          <w:rFonts w:hint="eastAsia" w:ascii="黑体" w:hAnsi="宋体" w:eastAsia="黑体" w:cs="Times New Roman"/>
          <w:sz w:val="32"/>
          <w:lang w:bidi="ar-SA"/>
        </w:rPr>
      </w:pPr>
      <w:r>
        <w:rPr>
          <w:rFonts w:hint="eastAsia" w:ascii="仿宋_GB2312" w:hAnsi="宋体" w:eastAsia="仿宋_GB2312"/>
          <w:sz w:val="32"/>
          <w:szCs w:val="32"/>
        </w:rPr>
        <w:t>十二、重点、重大项目信息</w:t>
      </w:r>
    </w:p>
    <w:p>
      <w:pPr>
        <w:spacing w:beforeLines="100" w:afterLines="100" w:line="460" w:lineRule="exact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val="en-US" w:eastAsia="zh-CN" w:bidi="ar-SA"/>
        </w:rPr>
        <w:t xml:space="preserve">    </w:t>
      </w:r>
      <w:r>
        <w:rPr>
          <w:rFonts w:hint="eastAsia" w:ascii="黑体" w:hAnsi="黑体" w:eastAsia="黑体" w:cs="Times New Roman"/>
          <w:sz w:val="32"/>
          <w:lang w:bidi="ar-SA"/>
        </w:rPr>
        <w:t>第四部分  名词解释</w:t>
      </w:r>
    </w:p>
    <w:p>
      <w:pPr>
        <w:spacing w:beforeLines="100" w:afterLines="100" w:line="576" w:lineRule="exact"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第一部分</w:t>
      </w:r>
    </w:p>
    <w:p>
      <w:pPr>
        <w:spacing w:beforeLines="100" w:afterLines="100" w:line="576" w:lineRule="exact"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林周县松盘乡人民政府概况</w:t>
      </w:r>
    </w:p>
    <w:p>
      <w:pPr>
        <w:spacing w:line="576" w:lineRule="exact"/>
        <w:rPr>
          <w:rFonts w:ascii="楷体" w:hAnsi="楷体" w:eastAsia="楷体" w:cs="Times New Roman"/>
          <w:bCs/>
          <w:sz w:val="32"/>
          <w:lang w:bidi="ar-SA"/>
        </w:rPr>
      </w:pPr>
      <w:r>
        <w:rPr>
          <w:rFonts w:hint="eastAsia" w:ascii="楷体" w:hAnsi="楷体" w:eastAsia="楷体" w:cs="Times New Roman"/>
          <w:bCs/>
          <w:sz w:val="32"/>
          <w:lang w:bidi="ar-SA"/>
        </w:rPr>
        <w:t>一、部门预算单位构成</w:t>
      </w:r>
    </w:p>
    <w:p>
      <w:pPr>
        <w:spacing w:after="480" w:line="576" w:lineRule="exact"/>
        <w:ind w:firstLine="4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林周县松盘乡2019年度预算公开包括以下单位数据:</w:t>
      </w:r>
    </w:p>
    <w:p>
      <w:pPr>
        <w:spacing w:after="480" w:line="576" w:lineRule="exact"/>
        <w:ind w:firstLine="48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林周县松盘乡人民政府本级</w:t>
      </w:r>
    </w:p>
    <w:p>
      <w:pPr>
        <w:spacing w:after="480" w:line="576" w:lineRule="exact"/>
        <w:rPr>
          <w:rFonts w:ascii="楷体" w:hAnsi="楷体" w:eastAsia="楷体" w:cs="Times New Roman"/>
          <w:bCs/>
          <w:sz w:val="32"/>
          <w:lang w:bidi="ar-SA"/>
        </w:rPr>
      </w:pPr>
      <w:r>
        <w:rPr>
          <w:rFonts w:hint="eastAsia" w:ascii="楷体" w:hAnsi="楷体" w:eastAsia="楷体" w:cs="Times New Roman"/>
          <w:bCs/>
          <w:sz w:val="32"/>
          <w:lang w:bidi="ar-SA"/>
        </w:rPr>
        <w:t>二、部门职责和机构设置</w:t>
      </w:r>
    </w:p>
    <w:p>
      <w:pPr>
        <w:widowControl/>
        <w:spacing w:before="188" w:after="188" w:line="480" w:lineRule="atLeast"/>
        <w:ind w:firstLine="640" w:firstLineChars="200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(一)部门职责。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落实国家政策,严格依法行政,发挥经济管理职能,加强政策引导,制定发展规划,服务市场主体和营造发展环境,搞好市场监管,大力促进社会事业发展,发展乡村经济、文化和社会事业,提供公共服务,维护社会稳定,构造社会主义和谐社会，松盘乡人民政府是林周县人民政府的下属单位，主要履行下列职责：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1.党群综合办公室:主要承担党委、人大、群团组织的各项日常工作和党的基层组织建设、纪检监察、组织人事、宣传、统一战线、精神文明建设、工青妇及党内统计等工作。协调社会管理综治相关工作。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2.政务综合办公室:主要承担政府的日常工作和经济产业发展规划,社会事业发展规划的制定,负责政务信息、经济社会发展相关统计、政务监察等工作。协调经济社会发展相关工作。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3.经济发展和社会事务办公室:主要承担经济结构调整、基础设施建设、财经、扶贫开发、防汛抗旱救灾、动植物防疫、安全生产、文化卫生、教育体育、科学技术、优生优育、村镇规划建设、民政事务、残疾人保障、劳动就业和社会保障、环境保护等工作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4.维护稳定和综合治理办公室:主要承担人民武装、社会管理综合治理、信访、矛盾纠纷排查工作、民族宗教、寺庙管理、安置帮教、群防群治、组织建设等工作。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5.财务室:主要承担乡镇预算决算的制定和财务日常管理工作。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" w:hAnsi="仿宋" w:eastAsia="仿宋"/>
          <w:sz w:val="32"/>
        </w:rPr>
        <w:t>6.抓好干部的培训和管理工作</w:t>
      </w:r>
    </w:p>
    <w:p>
      <w:pPr>
        <w:spacing w:line="576" w:lineRule="exact"/>
        <w:ind w:firstLine="640" w:firstLineChars="200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(二)部门机构设置。</w:t>
      </w: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1、内设机构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林周县松盘乡设5个内设机构、3个事业机构。</w:t>
      </w: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（1）乡镇内设机构主要职责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党群综合办公室：主要承担党委、人大、群团组织的各项日考工作和党的基层组织建设、纪检监察、组织人事、宣传、统一战线、精神文明建设、工青妇及党内统计等工作。协调社会管理综合治理相关工作。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政务综合办公室：主要承担政府的日常工作和经济产业发展规划、社会事业发展规划的制定，负责政务信息、经济社会发展相关统计、政务监督等工作。协调经济社会发展相关工作。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经济发展和社会事务办公室：主要承担经济结构调整、基础设施建设、财经、扶贫开发、防汛抗早救灾、动植物防疫、安全生产、文化卫生、教育体育、科学技术、优生优育、村镇规划建设、民政事务、残疾人保障、劳动就业和社会保障、环境保护等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维护稳定和综合治理办公室：主要承担人民武装、社会管理综合治理、信访、矛盾纠纷排查调处、民族宗教、寺庙管理、安置帮教、群防群治、组织建设等工作。协调维护稳定相关工作。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财务室：主要承担乡镇预算决算的制定和财务日常管理工作。</w:t>
      </w: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（2）事业机构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乡镇农牧综合服务中心（畜牧兽医服务中心）：主要承担乡镇农牧技术推广、农机、种子推广、科技培训、蔬菜种植、草原管理、畜牧兽医、兽防、野生动物保护、渔业、林业和水利等工作。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乡镇文化服务中心：主要承担远程教育站点的维护使用和乡镇文化、广播、电影、电视、图书、群众体育等工作。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乡镇机关后勤服务中心：负责乡镇机关后勤保障工作。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2、人员编制</w:t>
      </w: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（1）乡镇内设机构人员编制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行政编制28名，5个内设机构均为副科级建制，副科级领导职数1名，乡领导职数核定11名，内设机构领导职数核定5名。</w:t>
      </w:r>
    </w:p>
    <w:p>
      <w:pPr>
        <w:spacing w:line="576" w:lineRule="exact"/>
        <w:ind w:firstLine="643" w:firstLineChars="200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（2）事业机构人员编制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事业编制数合计20名，领导职数核定1名；均为副科级建制，事业编制经费来源均为全额拨款，具体如下：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农牧综合服务中心（畜牧兽医服务中心），核定事业编制11名；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文化服务中心，核定事业编制5名；</w:t>
      </w:r>
    </w:p>
    <w:p>
      <w:pPr>
        <w:spacing w:line="576" w:lineRule="exact"/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后勤服务中心，核定事业编制4名。</w:t>
      </w:r>
    </w:p>
    <w:p>
      <w:pPr>
        <w:adjustRightInd w:val="0"/>
        <w:spacing w:line="600" w:lineRule="exact"/>
        <w:contextualSpacing/>
        <w:rPr>
          <w:rFonts w:cs="MS Gothic" w:asciiTheme="minorEastAsia" w:hAnsiTheme="minorEastAsia"/>
          <w:b/>
          <w:bCs/>
          <w:color w:val="333333"/>
          <w:kern w:val="0"/>
          <w:sz w:val="28"/>
          <w:szCs w:val="28"/>
        </w:rPr>
      </w:pPr>
    </w:p>
    <w:p>
      <w:pPr>
        <w:adjustRightInd w:val="0"/>
        <w:spacing w:line="600" w:lineRule="exact"/>
        <w:contextualSpacing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 </w:t>
      </w:r>
    </w:p>
    <w:p>
      <w:pPr>
        <w:adjustRightInd w:val="0"/>
        <w:spacing w:line="600" w:lineRule="exact"/>
        <w:contextualSpacing/>
        <w:jc w:val="center"/>
        <w:rPr>
          <w:rFonts w:ascii="黑体" w:hAnsi="宋体" w:eastAsia="黑体" w:cs="Times New Roman"/>
          <w:sz w:val="48"/>
          <w:szCs w:val="48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第二部分</w:t>
      </w:r>
    </w:p>
    <w:p>
      <w:pPr>
        <w:spacing w:beforeLines="100" w:afterLines="100" w:line="576" w:lineRule="exact"/>
        <w:jc w:val="center"/>
        <w:rPr>
          <w:rFonts w:ascii="黑体" w:hAnsi="黑体" w:eastAsia="黑体" w:cs="Times New Roman"/>
          <w:color w:val="000000"/>
          <w:sz w:val="32"/>
          <w:lang w:bidi="ar-SA"/>
        </w:rPr>
      </w:pPr>
      <w:r>
        <w:rPr>
          <w:rFonts w:hint="eastAsia" w:ascii="黑体" w:hAnsi="黑体" w:eastAsia="黑体" w:cs="Times New Roman"/>
          <w:color w:val="000000"/>
          <w:sz w:val="32"/>
          <w:lang w:bidi="ar-SA"/>
        </w:rPr>
        <w:t>林周县松盘乡人民政府2019年度部门预算表</w:t>
      </w:r>
    </w:p>
    <w:p>
      <w:pPr>
        <w:widowControl/>
        <w:shd w:val="clear" w:color="auto" w:fill="FFFFFF"/>
        <w:spacing w:after="480" w:line="480" w:lineRule="auto"/>
        <w:jc w:val="center"/>
        <w:rPr>
          <w:rFonts w:cs="宋体" w:asciiTheme="minorEastAsia" w:hAnsiTheme="minorEastAsia"/>
          <w:color w:val="333333"/>
          <w:kern w:val="0"/>
          <w:sz w:val="28"/>
          <w:szCs w:val="28"/>
        </w:rPr>
      </w:pPr>
      <w:r>
        <w:rPr>
          <w:rFonts w:hint="eastAsia" w:cs="宋体" w:asciiTheme="minorEastAsia" w:hAnsiTheme="minorEastAsia"/>
          <w:color w:val="333333"/>
          <w:kern w:val="0"/>
          <w:sz w:val="28"/>
          <w:szCs w:val="28"/>
        </w:rPr>
        <w:t>（详见附表1-8）</w:t>
      </w:r>
      <w:r>
        <w:rPr>
          <w:rFonts w:hint="eastAsia" w:ascii="黑体" w:hAnsi="黑体" w:eastAsia="黑体" w:cs="Times New Roman"/>
          <w:sz w:val="32"/>
          <w:lang w:bidi="ar-SA"/>
        </w:rPr>
        <w:t>   </w:t>
      </w:r>
    </w:p>
    <w:p>
      <w:pPr>
        <w:spacing w:beforeLines="100" w:afterLines="100" w:line="576" w:lineRule="exact"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第三部分</w:t>
      </w:r>
    </w:p>
    <w:p>
      <w:pPr>
        <w:spacing w:beforeLines="100" w:afterLines="100" w:line="576" w:lineRule="exact"/>
        <w:jc w:val="center"/>
        <w:rPr>
          <w:rFonts w:ascii="黑体" w:hAnsi="黑体" w:eastAsia="黑体" w:cs="Times New Roman"/>
          <w:spacing w:val="-8"/>
          <w:sz w:val="32"/>
          <w:lang w:bidi="ar-SA"/>
        </w:rPr>
      </w:pPr>
      <w:r>
        <w:rPr>
          <w:rFonts w:hint="eastAsia" w:ascii="黑体" w:hAnsi="黑体" w:eastAsia="黑体" w:cs="Times New Roman"/>
          <w:spacing w:val="-8"/>
          <w:sz w:val="32"/>
          <w:lang w:bidi="ar-SA"/>
        </w:rPr>
        <w:t>林周县松盘乡人民政府2019年度部门预算数据分析</w:t>
      </w:r>
    </w:p>
    <w:p>
      <w:pPr>
        <w:spacing w:line="576" w:lineRule="exact"/>
        <w:ind w:firstLine="627" w:firstLineChars="196"/>
        <w:rPr>
          <w:rFonts w:ascii="楷体" w:hAnsi="楷体" w:eastAsia="楷体" w:cs="Times New Roman"/>
          <w:bCs/>
          <w:sz w:val="32"/>
          <w:lang w:bidi="ar-SA"/>
        </w:rPr>
      </w:pPr>
      <w:r>
        <w:rPr>
          <w:rFonts w:hint="eastAsia" w:ascii="楷体" w:hAnsi="楷体" w:eastAsia="楷体" w:cs="Times New Roman"/>
          <w:bCs/>
          <w:sz w:val="32"/>
          <w:lang w:bidi="ar-SA"/>
        </w:rPr>
        <w:t>一、2019年度一般公共预算收支情况总体说明。</w:t>
      </w:r>
    </w:p>
    <w:p>
      <w:pPr>
        <w:widowControl/>
        <w:spacing w:before="188" w:after="188" w:line="480" w:lineRule="atLeast"/>
        <w:ind w:firstLine="640" w:firstLineChars="200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林周县松盘乡人民政府2019年度财政收入预算总额为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815.07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万元,均为一般公共预算拨款,本年度没有政府性基金预算收入。本年支出总额为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815.07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万元,其中一般公共服务支出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744.80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万元,国防支出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0.35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万元,文化体育与传媒支出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4.00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万元,节能环保支出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3.74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农林水支出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3万元，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住房保障支出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59.18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万元,本年度实现收支平衡。</w:t>
      </w:r>
    </w:p>
    <w:p>
      <w:pPr>
        <w:spacing w:line="576" w:lineRule="exact"/>
        <w:ind w:firstLine="627" w:firstLineChars="196"/>
        <w:rPr>
          <w:rFonts w:ascii="楷体" w:hAnsi="楷体" w:eastAsia="楷体" w:cs="Times New Roman"/>
          <w:bCs/>
          <w:sz w:val="32"/>
          <w:lang w:bidi="ar-SA"/>
        </w:rPr>
      </w:pPr>
      <w:r>
        <w:rPr>
          <w:rFonts w:hint="eastAsia" w:ascii="楷体" w:hAnsi="楷体" w:eastAsia="楷体" w:cs="Times New Roman"/>
          <w:bCs/>
          <w:sz w:val="32"/>
          <w:lang w:bidi="ar-SA"/>
        </w:rPr>
        <w:t>二、2019年度一般公共预算收入情况说明。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松盘乡人民政府2019年度财政拨款数为</w:t>
      </w:r>
      <w:r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  <w:t>815.07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万元,同比2018年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增加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51.68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(增加的原因是今年增加了个别专项经费)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(一)一般公共预算当年财政拨款规模变化情况。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松盘乡人民政府2019年一般公共服务744.8万元,同比2018年增加了8.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72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%。国防0.35万元,与比2018年减少56.25%。文化体育与传媒4万元,与2018年持平。节能环保3.74万元,与2018年减少了37.67%。住房保障支出59.18万元,与2018年度持平。</w:t>
      </w:r>
    </w:p>
    <w:p>
      <w:pPr>
        <w:spacing w:line="576" w:lineRule="exact"/>
        <w:ind w:firstLine="627" w:firstLineChars="196"/>
        <w:rPr>
          <w:rFonts w:ascii="楷体" w:hAnsi="楷体" w:eastAsia="楷体" w:cs="Times New Roman"/>
          <w:bCs/>
          <w:sz w:val="32"/>
          <w:lang w:bidi="ar-SA"/>
        </w:rPr>
      </w:pPr>
      <w:r>
        <w:rPr>
          <w:rFonts w:hint="eastAsia" w:ascii="楷体" w:hAnsi="楷体" w:eastAsia="楷体" w:cs="Times New Roman"/>
          <w:bCs/>
          <w:sz w:val="32"/>
          <w:lang w:bidi="ar-SA"/>
        </w:rPr>
        <w:t>三、2019年度一般公共预算基本支出情况说明。</w:t>
      </w:r>
    </w:p>
    <w:p>
      <w:pPr>
        <w:spacing w:line="576" w:lineRule="exact"/>
        <w:ind w:firstLine="627" w:firstLineChars="196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林周县松盘乡人民政府2019年度一般公共预算基本支出为721.27万元,其中人员经费为696.78万元,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公用经费为24.49万元。其中人员经费主要用于工资奖金津补贴566.61万元,住房公积金59.18,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其他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工资福利支出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70.99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。公用经费主要用于办公经费4.86万元,公务接待费2.20万元,公务用车运行维护费14万元,维修(护)费1.43万元,其他商品和服务支出2.00万元。</w:t>
      </w:r>
    </w:p>
    <w:p>
      <w:pPr>
        <w:adjustRightInd w:val="0"/>
        <w:spacing w:line="600" w:lineRule="exact"/>
        <w:ind w:firstLine="627" w:firstLineChars="196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四、2019年度一般公共预算财政拨款收支预算情况说明。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按照综合预算的原则,所有收入和支出纳入部门预算管理。一般公共预算拨款收入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815.07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万元。一般公共预算拨款支出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815.07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万元，支出包括一般公共服务744.8万元,国防0.35万元,文化体育与传媒4万元,节能环保3.74万元,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农林水支出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3万元，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住房保障59.18万元。2019年收支总预算为815.07万元。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（一）财政拨款支出预算总体情况。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林周县松盘乡人民政府2019年度支出预算815.07万元,其中基本支出721.27万元,占总支出的88.49%,项目支出93.8万元,占总支出的11.51%。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（二）财政拨款支出预算结构情况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林周县松盘乡人民政府2019年度一般公共预算基本支出为721.27万元,其中人员经费为696.78万元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人员经费主要用于工资奖金津补贴566.61万元,住房公积金59.18,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其他工资福利支出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70.99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）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。公用经费为24.49万元。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公用经费主要用于办公经费4.86万元,公务接待费2.20万元,公务用车运行维护费14万元,维修(护)费1.43万元,其他商品和服务支出2.00万元。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）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楷体" w:hAnsi="楷体" w:eastAsia="楷体" w:cs="仿宋_GB2312"/>
          <w:color w:val="484848"/>
          <w:kern w:val="0"/>
          <w:sz w:val="32"/>
          <w:lang w:bidi="ar-SA"/>
        </w:rPr>
      </w:pPr>
      <w:r>
        <w:rPr>
          <w:rFonts w:hint="eastAsia" w:ascii="楷体" w:hAnsi="楷体" w:eastAsia="楷体" w:cs="仿宋_GB2312"/>
          <w:color w:val="484848"/>
          <w:kern w:val="0"/>
          <w:sz w:val="32"/>
          <w:lang w:bidi="ar-SA"/>
        </w:rPr>
        <w:t>(三)财政拨款具体支出预算具体情况。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1、一般公共服务(类)人大事务(款)其他人大事务支出(项)2019年预算数为6万元,同比2018年执行数持平。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2、一般公共服务(类)政府办公厅(室)及相关机构事务(款)行政运行(项)其他政府办公厅(室)及相关机构事务支出(项)2019年预算数为737.95万元,同比2018年执行数增加58.15万元,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3、一般公共服务(类)纪检监察事务(款)其他纪检监察事务支出(项)2019年预算数为0.85万元,与2018年减少了0.15万元。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4、国防支出(类)国防动员(款)兵役征集(项)2019年预算数为0.35万元,与2018年减少0.45万元。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5、文化旅游体育与传媒支出(类)文化和旅游(款)群众文化(项)2019年预算数为4万元,与2018年执行数持平。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6、节能环保支出(类)自然生态保护支出(款)其他自然生态保护支出(项)2019年预算数为3.74万元,与2018年减少了2.26万元。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7、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农林水支出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支出(类)自然生态保护支出(款)其他自然生态保护支出(项)2019年预算数为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万元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eastAsia="zh-CN" w:bidi="ar-SA"/>
        </w:rPr>
        <w:t>。今年新增项目。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8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、住房保障支出(类)保障性安居工程支出(款)其他保障性安居工程支出(项)2019年预算数为2.835万元,与2018年减少了4.165万元。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val="en-US" w:eastAsia="zh-CN" w:bidi="ar-SA"/>
        </w:rPr>
        <w:t>9</w:t>
      </w: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、住房保障支出(类)住房改革支出(款)住房公积金(项)2019年预算数为59.18万元,与2018年减少了4.61万元。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黑体" w:hAnsi="黑体" w:eastAsia="黑体" w:cs="Times New Roman"/>
          <w:bCs/>
          <w:sz w:val="32"/>
          <w:lang w:bidi="ar-SA"/>
        </w:rPr>
        <w:t>五、2019年度 “三公”及相关经费预算情况说明。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严格贯彻落实中央“八项规定”、自治区“约法十章”和市委“八项要求”,以及厉行勤俭节约反对铺张浪费等相关规定,在实行“三公”经费预算和审计制度上,根据实际情况进一步压缩预算支出,按照能不开支的尽量不开支,能少开支的尽量少开支的原则,严格控制公款接待及公车运行费用,进一步加强了“三公”经费的管理,严格执行因公出国(境)费、公务接待费、公务用车购置费及运行费“三公”经费预算,不挤占单位正常经费、专项经费,严格执行《西藏自治区“三公经费”支出监管暂行办法》(藏财预字〔2014〕5 号)文件精神,严格控制“三公”经费支出,确保了“三公”经费零增长。</w:t>
      </w:r>
    </w:p>
    <w:p>
      <w:pPr>
        <w:widowControl/>
        <w:shd w:val="clear" w:color="auto" w:fill="FFFFFF"/>
        <w:spacing w:after="480" w:line="480" w:lineRule="auto"/>
        <w:ind w:firstLine="480"/>
        <w:jc w:val="left"/>
        <w:rPr>
          <w:rFonts w:ascii="仿宋_GB2312" w:hAnsi="仿宋_GB2312" w:eastAsia="仿宋_GB2312" w:cs="仿宋_GB2312"/>
          <w:color w:val="484848"/>
          <w:kern w:val="0"/>
          <w:sz w:val="32"/>
          <w:lang w:bidi="ar-SA"/>
        </w:rPr>
      </w:pPr>
      <w:r>
        <w:rPr>
          <w:rFonts w:hint="eastAsia" w:ascii="仿宋_GB2312" w:hAnsi="仿宋_GB2312" w:eastAsia="仿宋_GB2312" w:cs="仿宋_GB2312"/>
          <w:color w:val="484848"/>
          <w:kern w:val="0"/>
          <w:sz w:val="32"/>
          <w:lang w:bidi="ar-SA"/>
        </w:rPr>
        <w:t>林周县松盘乡人民政府2019年度 “三公”经费预算数为16.20万元,其中无因公出国(境)费,公务接待2.20万元,无公务用车购置、公务用车运行费14万元,同比2018年“三公”经费16.15万元增加了0.05万元,其中无因公出国(境)费,公务接待2.20万元、同比2018年增加0.05万元,原因是:精准扶贫、维稳任务关键一年,任务加重,检查增加,故相应的费用增加。无公务用车购置、公务用车运行费14万元,比2018年持平。</w:t>
      </w:r>
    </w:p>
    <w:p>
      <w:pPr>
        <w:adjustRightInd w:val="0"/>
        <w:spacing w:line="600" w:lineRule="exact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六、2019年度机关运行情况说明</w:t>
      </w:r>
    </w:p>
    <w:p>
      <w:pPr>
        <w:adjustRightInd w:val="0"/>
        <w:spacing w:line="600" w:lineRule="exact"/>
        <w:ind w:firstLine="480" w:firstLineChars="150"/>
        <w:contextualSpacing/>
        <w:rPr>
          <w:rFonts w:ascii="楷体" w:hAnsi="楷体" w:eastAsia="楷体" w:cs="Times New Roman"/>
          <w:sz w:val="32"/>
          <w:lang w:bidi="ar-SA"/>
        </w:rPr>
      </w:pPr>
      <w:r>
        <w:rPr>
          <w:rFonts w:hint="eastAsia" w:ascii="楷体" w:hAnsi="楷体" w:eastAsia="楷体" w:cs="Times New Roman"/>
          <w:sz w:val="32"/>
          <w:lang w:bidi="ar-SA"/>
        </w:rPr>
        <w:t>（一）2019年松盘乡人民政府履行行政事业管理职能</w:t>
      </w:r>
    </w:p>
    <w:p>
      <w:pPr>
        <w:adjustRightInd w:val="0"/>
        <w:spacing w:line="600" w:lineRule="exact"/>
        <w:ind w:firstLine="480" w:firstLineChars="150"/>
        <w:contextualSpacing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维持机关运行、用一般公共预算安排的行政经费815.07万元,其中基本支出721.27万元,占总支出的88.49%,项目支出93.8万元,占总支出的11.51%。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楷体" w:hAnsi="楷体" w:eastAsia="楷体" w:cs="Times New Roman"/>
          <w:sz w:val="32"/>
          <w:lang w:bidi="ar-SA"/>
        </w:rPr>
      </w:pPr>
      <w:r>
        <w:rPr>
          <w:rFonts w:hint="eastAsia" w:ascii="楷体" w:hAnsi="楷体" w:eastAsia="楷体" w:cs="Times New Roman"/>
          <w:sz w:val="32"/>
          <w:lang w:bidi="ar-SA"/>
        </w:rPr>
        <w:t>（二）机关运行经费预算的内容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行政经费由基本支出和一般行政支出两部分组成；1.基本支出，包括两部分；一部分是人员经费，具体包括工资、津贴及奖金、医疗费、住房补贴等；二是公用经费，具体包括办公及印刷费、水电费、邮电费、交通费、差旅费、会议费、福利费、物业管理费、日常维修费、一般购置费等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七、政府采购情况说明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松盘乡人民政府2019年度暂无政府采购货物、工程、服务的总体情况。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八、国有资产占有使用情况说明</w:t>
      </w:r>
    </w:p>
    <w:p>
      <w:pPr>
        <w:spacing w:line="576" w:lineRule="exact"/>
        <w:ind w:firstLine="640" w:firstLineChars="200"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截止2019年1月为止，松盘乡人民政府共有11辆车，越野车1辆、校车1辆、小型载客汽车2辆、其它用车5辆；本单位无价值200万元以上大型设备，其他固定资产</w:t>
      </w:r>
      <w:r>
        <w:rPr>
          <w:rFonts w:hint="eastAsia" w:ascii="仿宋_GB2312" w:hAnsi="仿宋" w:eastAsia="仿宋_GB2312" w:cs="Times New Roman"/>
          <w:sz w:val="32"/>
          <w:lang w:val="en-US" w:eastAsia="zh-CN" w:bidi="ar-SA"/>
        </w:rPr>
        <w:t>147.1</w:t>
      </w:r>
      <w:r>
        <w:rPr>
          <w:rFonts w:hint="eastAsia" w:ascii="仿宋_GB2312" w:hAnsi="仿宋" w:eastAsia="仿宋_GB2312" w:cs="Times New Roman"/>
          <w:sz w:val="32"/>
          <w:lang w:bidi="ar-SA"/>
        </w:rPr>
        <w:t>万元。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九、预算绩效情况说明。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1.预算执行进度进一步提高。</w:t>
      </w:r>
    </w:p>
    <w:p>
      <w:pPr>
        <w:adjustRightInd w:val="0"/>
        <w:spacing w:line="600" w:lineRule="exact"/>
        <w:ind w:firstLine="640" w:firstLineChars="200"/>
        <w:contextualSpacing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2019年,松盘乡人民政府牢固树立预算执行与预算绩效相结合的理念,积极盘活存量资金、加快财政资金运行效率,定期向分管财务领导以及业务处室汇报预算执行进度情况,对预算执行进度缓慢的项目进行催促,进一步加快项目资金拨付力度、简化资金拨付审批程序。</w:t>
      </w:r>
    </w:p>
    <w:p>
      <w:pPr>
        <w:widowControl/>
        <w:spacing w:before="188" w:after="188" w:line="480" w:lineRule="atLeast"/>
        <w:ind w:firstLine="480"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2.预算绩效管理队伍进一步充实。</w:t>
      </w:r>
    </w:p>
    <w:p>
      <w:pPr>
        <w:widowControl/>
        <w:spacing w:before="188" w:after="188" w:line="480" w:lineRule="atLeast"/>
        <w:ind w:firstLine="480"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2019年,大力加强预算绩效管理队伍建设、强化人员专业技能培训,通过积极参加林周县财政局举办的各类预算绩效管理培训,提高了我乡预算绩效人员的政策水平和业务素质,奠定了扎实的理论与实际工作基础。</w:t>
      </w:r>
    </w:p>
    <w:p>
      <w:pPr>
        <w:adjustRightInd w:val="0"/>
        <w:spacing w:line="600" w:lineRule="exact"/>
        <w:ind w:firstLine="645"/>
        <w:contextualSpacing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十、政府性债务情况说明</w:t>
      </w:r>
    </w:p>
    <w:p>
      <w:pPr>
        <w:widowControl/>
        <w:spacing w:before="188" w:after="188" w:line="480" w:lineRule="atLeast"/>
        <w:ind w:firstLine="480"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松盘乡人民政府2019年度没有待偿还的债务、待回购股权投资和应付工程物资款。</w:t>
      </w:r>
    </w:p>
    <w:p>
      <w:pPr>
        <w:widowControl/>
        <w:spacing w:before="188" w:after="188" w:line="480" w:lineRule="atLeast"/>
        <w:ind w:firstLine="480"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十一、扶贫资金情况</w:t>
      </w:r>
    </w:p>
    <w:p>
      <w:pPr>
        <w:widowControl/>
        <w:spacing w:before="188" w:after="188" w:line="480" w:lineRule="atLeast"/>
        <w:ind w:firstLine="480"/>
        <w:rPr>
          <w:rFonts w:ascii="仿宋_GB2312" w:hAnsi="仿宋" w:eastAsia="仿宋_GB2312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松盘乡人民政府2019年度</w:t>
      </w:r>
      <w:r>
        <w:rPr>
          <w:rFonts w:hint="eastAsia" w:ascii="仿宋_GB2312" w:hAnsi="仿宋" w:eastAsia="仿宋_GB2312" w:cs="Times New Roman"/>
          <w:sz w:val="32"/>
          <w:lang w:eastAsia="zh-CN" w:bidi="ar-SA"/>
        </w:rPr>
        <w:t>扶贫工作经费</w:t>
      </w:r>
      <w:r>
        <w:rPr>
          <w:rFonts w:hint="eastAsia" w:ascii="仿宋_GB2312" w:hAnsi="仿宋" w:eastAsia="仿宋_GB2312" w:cs="Times New Roman"/>
          <w:sz w:val="32"/>
          <w:lang w:val="en-US" w:eastAsia="zh-CN" w:bidi="ar-SA"/>
        </w:rPr>
        <w:t>4.1万元，</w:t>
      </w:r>
      <w:r>
        <w:rPr>
          <w:rFonts w:hint="eastAsia" w:ascii="仿宋_GB2312" w:hAnsi="仿宋" w:eastAsia="仿宋_GB2312" w:cs="Times New Roman"/>
          <w:sz w:val="32"/>
          <w:lang w:bidi="ar-SA"/>
        </w:rPr>
        <w:t>用于扶贫工作宣传</w:t>
      </w:r>
      <w:r>
        <w:rPr>
          <w:rFonts w:hint="eastAsia" w:ascii="仿宋_GB2312" w:hAnsi="仿宋" w:eastAsia="仿宋_GB2312" w:cs="Times New Roman"/>
          <w:sz w:val="32"/>
          <w:lang w:eastAsia="zh-CN" w:bidi="ar-SA"/>
        </w:rPr>
        <w:t>、</w:t>
      </w:r>
      <w:r>
        <w:rPr>
          <w:rFonts w:hint="eastAsia" w:ascii="仿宋_GB2312" w:hAnsi="仿宋" w:eastAsia="仿宋_GB2312" w:cs="Times New Roman"/>
          <w:sz w:val="32"/>
          <w:lang w:bidi="ar-SA"/>
        </w:rPr>
        <w:t>制作展板、标语、材料复印等</w:t>
      </w:r>
      <w:r>
        <w:rPr>
          <w:rFonts w:hint="eastAsia" w:ascii="仿宋_GB2312" w:hAnsi="仿宋" w:eastAsia="仿宋_GB2312" w:cs="Times New Roman"/>
          <w:sz w:val="32"/>
          <w:lang w:eastAsia="zh-CN" w:bidi="ar-SA"/>
        </w:rPr>
        <w:t>相关支出</w:t>
      </w:r>
      <w:r>
        <w:rPr>
          <w:rFonts w:hint="eastAsia" w:ascii="仿宋_GB2312" w:hAnsi="仿宋" w:eastAsia="仿宋_GB2312" w:cs="Times New Roman"/>
          <w:sz w:val="32"/>
          <w:lang w:val="en-US" w:eastAsia="zh-CN" w:bidi="ar-SA"/>
        </w:rPr>
        <w:t>2万元</w:t>
      </w:r>
      <w:r>
        <w:rPr>
          <w:rFonts w:hint="eastAsia" w:ascii="仿宋_GB2312" w:hAnsi="仿宋" w:eastAsia="仿宋_GB2312" w:cs="Times New Roman"/>
          <w:sz w:val="32"/>
          <w:lang w:bidi="ar-SA"/>
        </w:rPr>
        <w:t>；以及购买扶贫办办公用品等相关支出</w:t>
      </w:r>
      <w:r>
        <w:rPr>
          <w:rFonts w:hint="eastAsia" w:ascii="仿宋_GB2312" w:hAnsi="仿宋" w:eastAsia="仿宋_GB2312" w:cs="Times New Roman"/>
          <w:sz w:val="32"/>
          <w:lang w:val="en-US" w:eastAsia="zh-CN" w:bidi="ar-SA"/>
        </w:rPr>
        <w:t>2.1万元</w:t>
      </w:r>
      <w:r>
        <w:rPr>
          <w:rFonts w:hint="eastAsia" w:ascii="仿宋_GB2312" w:hAnsi="仿宋" w:eastAsia="仿宋_GB2312" w:cs="Times New Roman"/>
          <w:sz w:val="32"/>
          <w:lang w:bidi="ar-SA"/>
        </w:rPr>
        <w:t>。</w:t>
      </w:r>
    </w:p>
    <w:p>
      <w:pPr>
        <w:widowControl/>
        <w:spacing w:before="188" w:after="188" w:line="480" w:lineRule="atLeast"/>
        <w:ind w:firstLine="480"/>
        <w:rPr>
          <w:rFonts w:ascii="黑体" w:hAnsi="宋体" w:eastAsia="黑体" w:cs="Times New Roman"/>
          <w:sz w:val="32"/>
          <w:lang w:bidi="ar-SA"/>
        </w:rPr>
      </w:pPr>
      <w:r>
        <w:rPr>
          <w:rFonts w:hint="eastAsia" w:ascii="黑体" w:hAnsi="宋体" w:eastAsia="黑体" w:cs="Times New Roman"/>
          <w:sz w:val="32"/>
          <w:lang w:bidi="ar-SA"/>
        </w:rPr>
        <w:t>十二、重点、重大项目信息</w:t>
      </w:r>
    </w:p>
    <w:p>
      <w:pPr>
        <w:widowControl/>
        <w:shd w:val="clear" w:color="auto" w:fill="FFFFFF"/>
        <w:spacing w:after="480" w:line="480" w:lineRule="auto"/>
        <w:ind w:firstLine="640" w:firstLineChars="200"/>
        <w:jc w:val="left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仿宋_GB2312" w:hAnsi="仿宋" w:eastAsia="仿宋_GB2312" w:cs="Times New Roman"/>
          <w:sz w:val="32"/>
          <w:lang w:bidi="ar-SA"/>
        </w:rPr>
        <w:t>2019 年松盘乡人民政府无重点、重大项目</w:t>
      </w:r>
      <w:r>
        <w:rPr>
          <w:rFonts w:hint="eastAsia" w:ascii="仿宋_GB2312" w:hAnsi="仿宋" w:eastAsia="仿宋_GB2312" w:cs="Times New Roman"/>
          <w:sz w:val="32"/>
          <w:lang w:eastAsia="zh-CN" w:bidi="ar-SA"/>
        </w:rPr>
        <w:t>。</w:t>
      </w:r>
      <w:bookmarkStart w:id="0" w:name="_GoBack"/>
      <w:bookmarkEnd w:id="0"/>
    </w:p>
    <w:p>
      <w:pPr>
        <w:spacing w:beforeLines="100" w:afterLines="100" w:line="576" w:lineRule="exact"/>
        <w:contextualSpacing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第四部分</w:t>
      </w:r>
    </w:p>
    <w:p>
      <w:pPr>
        <w:spacing w:beforeLines="100" w:afterLines="100" w:line="576" w:lineRule="exact"/>
        <w:contextualSpacing/>
        <w:jc w:val="center"/>
        <w:rPr>
          <w:rFonts w:ascii="黑体" w:hAnsi="黑体" w:eastAsia="黑体" w:cs="Times New Roman"/>
          <w:sz w:val="32"/>
          <w:lang w:bidi="ar-SA"/>
        </w:rPr>
      </w:pPr>
      <w:r>
        <w:rPr>
          <w:rFonts w:hint="eastAsia" w:ascii="黑体" w:hAnsi="黑体" w:eastAsia="黑体" w:cs="Times New Roman"/>
          <w:sz w:val="32"/>
          <w:lang w:bidi="ar-SA"/>
        </w:rPr>
        <w:t>名词解释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>一</w:t>
      </w:r>
      <w:r>
        <w:rPr>
          <w:rFonts w:ascii="楷体" w:hAnsi="楷体" w:eastAsia="楷体" w:cs="宋体"/>
          <w:b/>
          <w:sz w:val="32"/>
        </w:rPr>
        <w:t>、一般公共预算拨款收入</w:t>
      </w:r>
      <w:r>
        <w:rPr>
          <w:rFonts w:ascii="仿宋" w:hAnsi="仿宋" w:eastAsia="仿宋" w:cs="宋体"/>
          <w:sz w:val="32"/>
        </w:rPr>
        <w:t>：指财政</w:t>
      </w:r>
      <w:r>
        <w:rPr>
          <w:rFonts w:hint="eastAsia" w:ascii="仿宋" w:hAnsi="仿宋" w:eastAsia="仿宋" w:cs="宋体"/>
          <w:sz w:val="32"/>
        </w:rPr>
        <w:t>部门</w:t>
      </w:r>
      <w:r>
        <w:rPr>
          <w:rFonts w:ascii="仿宋" w:hAnsi="仿宋" w:eastAsia="仿宋" w:cs="宋体"/>
          <w:sz w:val="32"/>
        </w:rPr>
        <w:t>当年拨付的资金。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>二</w:t>
      </w:r>
      <w:r>
        <w:rPr>
          <w:rFonts w:ascii="楷体" w:hAnsi="楷体" w:eastAsia="楷体" w:cs="宋体"/>
          <w:b/>
          <w:sz w:val="32"/>
        </w:rPr>
        <w:t>、其他收入</w:t>
      </w:r>
      <w:r>
        <w:rPr>
          <w:rFonts w:hint="eastAsia" w:ascii="仿宋" w:hAnsi="仿宋" w:eastAsia="仿宋" w:cs="宋体"/>
          <w:sz w:val="32"/>
        </w:rPr>
        <w:t>：指</w:t>
      </w:r>
      <w:r>
        <w:rPr>
          <w:rFonts w:ascii="仿宋" w:hAnsi="仿宋" w:eastAsia="仿宋" w:cs="宋体"/>
          <w:sz w:val="32"/>
        </w:rPr>
        <w:t>上述“一般公共预算拨款收入”以外的收入。主</w:t>
      </w:r>
      <w:r>
        <w:rPr>
          <w:rFonts w:hint="eastAsia" w:ascii="仿宋" w:hAnsi="仿宋" w:eastAsia="仿宋" w:cs="宋体"/>
          <w:sz w:val="32"/>
        </w:rPr>
        <w:t>要</w:t>
      </w:r>
      <w:r>
        <w:rPr>
          <w:rFonts w:ascii="仿宋" w:hAnsi="仿宋" w:eastAsia="仿宋" w:cs="宋体"/>
          <w:sz w:val="32"/>
        </w:rPr>
        <w:t>是按规定</w:t>
      </w:r>
      <w:r>
        <w:rPr>
          <w:rFonts w:hint="eastAsia" w:ascii="仿宋" w:hAnsi="仿宋" w:eastAsia="仿宋" w:cs="宋体"/>
          <w:sz w:val="32"/>
        </w:rPr>
        <w:t>动</w:t>
      </w:r>
      <w:r>
        <w:rPr>
          <w:rFonts w:ascii="仿宋" w:hAnsi="仿宋" w:eastAsia="仿宋" w:cs="宋体"/>
          <w:sz w:val="32"/>
        </w:rPr>
        <w:t>用的</w:t>
      </w:r>
      <w:r>
        <w:rPr>
          <w:rFonts w:hint="eastAsia" w:ascii="仿宋" w:hAnsi="仿宋" w:eastAsia="仿宋" w:cs="宋体"/>
          <w:sz w:val="32"/>
        </w:rPr>
        <w:t>售房</w:t>
      </w:r>
      <w:r>
        <w:rPr>
          <w:rFonts w:ascii="仿宋" w:hAnsi="仿宋" w:eastAsia="仿宋" w:cs="宋体"/>
          <w:sz w:val="32"/>
        </w:rPr>
        <w:t>收入、存款利息收入等。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>三、三公经费：</w:t>
      </w:r>
      <w:r>
        <w:rPr>
          <w:rFonts w:hint="eastAsia" w:ascii="仿宋" w:hAnsi="仿宋" w:eastAsia="仿宋" w:cs="宋体"/>
          <w:sz w:val="32"/>
        </w:rPr>
        <w:t>指政府部门人员因公出国（境）经费、公务车辆购置及运行、公务招待费产生的消费，是当前公共行政领域亟待解决的问题之一。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>四、</w:t>
      </w:r>
      <w:r>
        <w:rPr>
          <w:rFonts w:ascii="楷体" w:hAnsi="楷体" w:eastAsia="楷体" w:cs="宋体"/>
          <w:b/>
          <w:sz w:val="32"/>
        </w:rPr>
        <w:t>财政事务:</w:t>
      </w:r>
      <w:r>
        <w:rPr>
          <w:rFonts w:ascii="仿宋" w:hAnsi="仿宋" w:eastAsia="仿宋" w:cs="宋体"/>
          <w:sz w:val="32"/>
        </w:rPr>
        <w:t>指财政事务方面的支出。有关具体事务包括行政管理、机关服务、预算改革业务、财政国库业务、信息化建设、财政委托业务等。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 xml:space="preserve">五、 </w:t>
      </w:r>
      <w:r>
        <w:rPr>
          <w:rFonts w:ascii="楷体" w:hAnsi="楷体" w:eastAsia="楷体" w:cs="宋体"/>
          <w:b/>
          <w:sz w:val="32"/>
        </w:rPr>
        <w:t>基本支出:</w:t>
      </w:r>
      <w:r>
        <w:rPr>
          <w:rFonts w:ascii="仿宋" w:hAnsi="仿宋" w:eastAsia="仿宋" w:cs="宋体"/>
          <w:sz w:val="32"/>
        </w:rPr>
        <w:t>指为保障机构正常运转、完成日常工作任务而发生的人员支出和公用支出。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 xml:space="preserve">六、 </w:t>
      </w:r>
      <w:r>
        <w:rPr>
          <w:rFonts w:ascii="楷体" w:hAnsi="楷体" w:eastAsia="楷体" w:cs="宋体"/>
          <w:b/>
          <w:sz w:val="32"/>
        </w:rPr>
        <w:t>项目支出:</w:t>
      </w:r>
      <w:r>
        <w:rPr>
          <w:rFonts w:ascii="仿宋" w:hAnsi="仿宋" w:eastAsia="仿宋" w:cs="宋体"/>
          <w:sz w:val="32"/>
        </w:rPr>
        <w:t>指在基本支出之外为完成特定的行政任务和事业目标所发生的支出。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 xml:space="preserve">七、 </w:t>
      </w:r>
      <w:r>
        <w:rPr>
          <w:rFonts w:ascii="楷体" w:hAnsi="楷体" w:eastAsia="楷体" w:cs="宋体"/>
          <w:b/>
          <w:sz w:val="32"/>
        </w:rPr>
        <w:t>行政运行:</w:t>
      </w:r>
      <w:r>
        <w:rPr>
          <w:rFonts w:ascii="仿宋" w:hAnsi="仿宋" w:eastAsia="仿宋" w:cs="宋体"/>
          <w:sz w:val="32"/>
        </w:rPr>
        <w:t>反映行政单位(包括实行公务员管理的事业单位)的基本支出。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>八、</w:t>
      </w:r>
      <w:r>
        <w:rPr>
          <w:rFonts w:ascii="楷体" w:hAnsi="楷体" w:eastAsia="楷体" w:cs="宋体"/>
          <w:b/>
          <w:sz w:val="32"/>
        </w:rPr>
        <w:t>政府办公厅(办公室)及相关机构事务:</w:t>
      </w:r>
      <w:r>
        <w:rPr>
          <w:rFonts w:hint="eastAsia" w:ascii="仿宋" w:hAnsi="仿宋" w:eastAsia="仿宋" w:cs="宋体"/>
          <w:sz w:val="32"/>
        </w:rPr>
        <w:t>反应各级政府办公厅(办公室)及相关机构的支出。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 xml:space="preserve">九、 </w:t>
      </w:r>
      <w:r>
        <w:rPr>
          <w:rFonts w:ascii="楷体" w:hAnsi="楷体" w:eastAsia="楷体" w:cs="宋体"/>
          <w:b/>
          <w:sz w:val="32"/>
        </w:rPr>
        <w:t>三公经费:</w:t>
      </w:r>
      <w:r>
        <w:rPr>
          <w:rFonts w:ascii="仿宋" w:hAnsi="仿宋" w:eastAsia="仿宋" w:cs="宋体"/>
          <w:sz w:val="32"/>
        </w:rPr>
        <w:t>“三公”经费包括因公出国(境)费、公务用车购置及运行费和公务接待费。公务用车购置及运行费,指单位公务用车购置费及租用费、燃料费、维修费、过路过桥费、保险费、安全奖励费用等支出。公务接待费,指单位按规定按支出的各类公务接待(含外宾接待)支出。</w:t>
      </w:r>
    </w:p>
    <w:p>
      <w:pPr>
        <w:spacing w:line="576" w:lineRule="exact"/>
        <w:ind w:firstLine="643" w:firstLineChars="200"/>
        <w:contextualSpacing/>
        <w:rPr>
          <w:rFonts w:ascii="仿宋" w:hAnsi="仿宋" w:eastAsia="仿宋" w:cs="宋体"/>
          <w:sz w:val="32"/>
        </w:rPr>
      </w:pPr>
      <w:r>
        <w:rPr>
          <w:rFonts w:hint="eastAsia" w:ascii="楷体" w:hAnsi="楷体" w:eastAsia="楷体" w:cs="宋体"/>
          <w:b/>
          <w:sz w:val="32"/>
        </w:rPr>
        <w:t xml:space="preserve">十、 </w:t>
      </w:r>
      <w:r>
        <w:rPr>
          <w:rFonts w:ascii="楷体" w:hAnsi="楷体" w:eastAsia="楷体" w:cs="宋体"/>
          <w:b/>
          <w:sz w:val="32"/>
        </w:rPr>
        <w:t>未归口管理的行政单位离退休:</w:t>
      </w:r>
      <w:r>
        <w:rPr>
          <w:rFonts w:ascii="仿宋" w:hAnsi="仿宋" w:eastAsia="仿宋" w:cs="宋体"/>
          <w:sz w:val="32"/>
        </w:rPr>
        <w:t>反映未实行归口管理的行政单位(包括实行公务员管理的事业单位)开支的离退休经费。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73144"/>
    </w:sdtPr>
    <w:sdtContent>
      <w:p>
        <w:pPr>
          <w:pStyle w:val="3"/>
          <w:jc w:val="right"/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15 -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273147"/>
    </w:sdtPr>
    <w:sdtEndPr>
      <w:rPr>
        <w:rFonts w:ascii="仿宋" w:hAnsi="仿宋" w:eastAsia="仿宋"/>
        <w:sz w:val="24"/>
        <w:szCs w:val="24"/>
      </w:rPr>
    </w:sdtEndPr>
    <w:sdtContent>
      <w:p>
        <w:pPr>
          <w:pStyle w:val="3"/>
        </w:pPr>
        <w:r>
          <w:rPr>
            <w:rFonts w:ascii="仿宋" w:hAnsi="仿宋" w:eastAsia="仿宋"/>
            <w:sz w:val="24"/>
            <w:szCs w:val="24"/>
          </w:rPr>
          <w:fldChar w:fldCharType="begin"/>
        </w:r>
        <w:r>
          <w:rPr>
            <w:rFonts w:ascii="仿宋" w:hAnsi="仿宋" w:eastAsia="仿宋"/>
            <w:sz w:val="24"/>
            <w:szCs w:val="24"/>
          </w:rPr>
          <w:instrText xml:space="preserve"> PAGE   \* MERGEFORMAT </w:instrText>
        </w:r>
        <w:r>
          <w:rPr>
            <w:rFonts w:ascii="仿宋" w:hAnsi="仿宋" w:eastAsia="仿宋"/>
            <w:sz w:val="24"/>
            <w:szCs w:val="24"/>
          </w:rPr>
          <w:fldChar w:fldCharType="separate"/>
        </w:r>
        <w:r>
          <w:rPr>
            <w:rFonts w:ascii="仿宋" w:hAnsi="仿宋" w:eastAsia="仿宋"/>
            <w:sz w:val="24"/>
            <w:szCs w:val="24"/>
            <w:lang w:val="zh-CN"/>
          </w:rPr>
          <w:t>-</w:t>
        </w:r>
        <w:r>
          <w:rPr>
            <w:rFonts w:ascii="仿宋" w:hAnsi="仿宋" w:eastAsia="仿宋"/>
            <w:sz w:val="24"/>
            <w:szCs w:val="24"/>
          </w:rPr>
          <w:t xml:space="preserve"> 12 -</w:t>
        </w:r>
        <w:r>
          <w:rPr>
            <w:rFonts w:ascii="仿宋" w:hAnsi="仿宋" w:eastAsia="仿宋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2"/>
  </w:compat>
  <w:rsids>
    <w:rsidRoot w:val="00832EC8"/>
    <w:rsid w:val="000113E1"/>
    <w:rsid w:val="00033793"/>
    <w:rsid w:val="000711AA"/>
    <w:rsid w:val="00076C30"/>
    <w:rsid w:val="000A3380"/>
    <w:rsid w:val="000A3809"/>
    <w:rsid w:val="000B606B"/>
    <w:rsid w:val="000B6D5B"/>
    <w:rsid w:val="000E4CC2"/>
    <w:rsid w:val="000F1ACB"/>
    <w:rsid w:val="000F7648"/>
    <w:rsid w:val="00101CC8"/>
    <w:rsid w:val="00122F33"/>
    <w:rsid w:val="00134F74"/>
    <w:rsid w:val="00154580"/>
    <w:rsid w:val="001B0FE2"/>
    <w:rsid w:val="001D075C"/>
    <w:rsid w:val="001D5EA6"/>
    <w:rsid w:val="002111B4"/>
    <w:rsid w:val="00215DE5"/>
    <w:rsid w:val="00225D16"/>
    <w:rsid w:val="00226CA8"/>
    <w:rsid w:val="002762B9"/>
    <w:rsid w:val="002A12DA"/>
    <w:rsid w:val="002D5D9E"/>
    <w:rsid w:val="003006C1"/>
    <w:rsid w:val="003477AE"/>
    <w:rsid w:val="00371BD5"/>
    <w:rsid w:val="00380BF6"/>
    <w:rsid w:val="003816AF"/>
    <w:rsid w:val="00381EBF"/>
    <w:rsid w:val="00382F59"/>
    <w:rsid w:val="00395897"/>
    <w:rsid w:val="003C1D7F"/>
    <w:rsid w:val="003C23F8"/>
    <w:rsid w:val="003C53B8"/>
    <w:rsid w:val="003E66BD"/>
    <w:rsid w:val="0042703D"/>
    <w:rsid w:val="0044124A"/>
    <w:rsid w:val="004418C5"/>
    <w:rsid w:val="00451022"/>
    <w:rsid w:val="00454012"/>
    <w:rsid w:val="004625D0"/>
    <w:rsid w:val="004768EA"/>
    <w:rsid w:val="004802CF"/>
    <w:rsid w:val="00483B6B"/>
    <w:rsid w:val="00486B29"/>
    <w:rsid w:val="004C0DA4"/>
    <w:rsid w:val="004C6540"/>
    <w:rsid w:val="004D09CA"/>
    <w:rsid w:val="004D37F5"/>
    <w:rsid w:val="004E7BB7"/>
    <w:rsid w:val="004F37EE"/>
    <w:rsid w:val="004F40BE"/>
    <w:rsid w:val="005376E7"/>
    <w:rsid w:val="00560F01"/>
    <w:rsid w:val="00566DE4"/>
    <w:rsid w:val="005D1370"/>
    <w:rsid w:val="005D26A4"/>
    <w:rsid w:val="005F6710"/>
    <w:rsid w:val="006000D6"/>
    <w:rsid w:val="00610AED"/>
    <w:rsid w:val="00623D26"/>
    <w:rsid w:val="006670D5"/>
    <w:rsid w:val="006823AE"/>
    <w:rsid w:val="006A695B"/>
    <w:rsid w:val="006B017D"/>
    <w:rsid w:val="006C176D"/>
    <w:rsid w:val="006D35B1"/>
    <w:rsid w:val="006E3385"/>
    <w:rsid w:val="006E42C0"/>
    <w:rsid w:val="006F3F27"/>
    <w:rsid w:val="00701584"/>
    <w:rsid w:val="00740726"/>
    <w:rsid w:val="00797F23"/>
    <w:rsid w:val="007F55F6"/>
    <w:rsid w:val="007F61C4"/>
    <w:rsid w:val="008102DB"/>
    <w:rsid w:val="00832EC8"/>
    <w:rsid w:val="0086186F"/>
    <w:rsid w:val="008D2675"/>
    <w:rsid w:val="008D6049"/>
    <w:rsid w:val="00900F40"/>
    <w:rsid w:val="00902CD5"/>
    <w:rsid w:val="00902EAA"/>
    <w:rsid w:val="00905892"/>
    <w:rsid w:val="00930B11"/>
    <w:rsid w:val="00953E3E"/>
    <w:rsid w:val="00976663"/>
    <w:rsid w:val="00981F0E"/>
    <w:rsid w:val="009A2515"/>
    <w:rsid w:val="009A2EED"/>
    <w:rsid w:val="009C3A02"/>
    <w:rsid w:val="009D5656"/>
    <w:rsid w:val="00A11B07"/>
    <w:rsid w:val="00A42ECC"/>
    <w:rsid w:val="00A43771"/>
    <w:rsid w:val="00A70B47"/>
    <w:rsid w:val="00A9088E"/>
    <w:rsid w:val="00AA0B16"/>
    <w:rsid w:val="00AA4F75"/>
    <w:rsid w:val="00AA70A7"/>
    <w:rsid w:val="00AC05A6"/>
    <w:rsid w:val="00AD06AE"/>
    <w:rsid w:val="00B02566"/>
    <w:rsid w:val="00B1045F"/>
    <w:rsid w:val="00B23FC1"/>
    <w:rsid w:val="00B61962"/>
    <w:rsid w:val="00B753FD"/>
    <w:rsid w:val="00B84C59"/>
    <w:rsid w:val="00B87647"/>
    <w:rsid w:val="00B9006E"/>
    <w:rsid w:val="00BB2054"/>
    <w:rsid w:val="00BB6525"/>
    <w:rsid w:val="00BB6E6C"/>
    <w:rsid w:val="00BC71B5"/>
    <w:rsid w:val="00BC7E5A"/>
    <w:rsid w:val="00BE3D0D"/>
    <w:rsid w:val="00BE6E78"/>
    <w:rsid w:val="00BE7D49"/>
    <w:rsid w:val="00BF4E66"/>
    <w:rsid w:val="00BF68DD"/>
    <w:rsid w:val="00C0016D"/>
    <w:rsid w:val="00C069BC"/>
    <w:rsid w:val="00C3483C"/>
    <w:rsid w:val="00C36988"/>
    <w:rsid w:val="00C46388"/>
    <w:rsid w:val="00C4723E"/>
    <w:rsid w:val="00C62A35"/>
    <w:rsid w:val="00CC247C"/>
    <w:rsid w:val="00CC7B45"/>
    <w:rsid w:val="00CD617D"/>
    <w:rsid w:val="00D034B8"/>
    <w:rsid w:val="00D045E0"/>
    <w:rsid w:val="00D6035B"/>
    <w:rsid w:val="00D83BC8"/>
    <w:rsid w:val="00DA65EE"/>
    <w:rsid w:val="00DB7728"/>
    <w:rsid w:val="00DD2437"/>
    <w:rsid w:val="00DE1C8B"/>
    <w:rsid w:val="00DF2D72"/>
    <w:rsid w:val="00DF2DB7"/>
    <w:rsid w:val="00E20B46"/>
    <w:rsid w:val="00E4033D"/>
    <w:rsid w:val="00E42293"/>
    <w:rsid w:val="00E4419F"/>
    <w:rsid w:val="00E45142"/>
    <w:rsid w:val="00E7253E"/>
    <w:rsid w:val="00E82985"/>
    <w:rsid w:val="00E833E1"/>
    <w:rsid w:val="00EA4495"/>
    <w:rsid w:val="00EC4384"/>
    <w:rsid w:val="00ED2C0A"/>
    <w:rsid w:val="00EE59F7"/>
    <w:rsid w:val="00F07846"/>
    <w:rsid w:val="00F36C8B"/>
    <w:rsid w:val="00F37356"/>
    <w:rsid w:val="00F72321"/>
    <w:rsid w:val="00F819A7"/>
    <w:rsid w:val="00FA64AF"/>
    <w:rsid w:val="00FC51A7"/>
    <w:rsid w:val="00FD2D19"/>
    <w:rsid w:val="00FD3120"/>
    <w:rsid w:val="00FD3C1A"/>
    <w:rsid w:val="00FD69B0"/>
    <w:rsid w:val="00FF3CAE"/>
    <w:rsid w:val="08CE060F"/>
    <w:rsid w:val="0C523D74"/>
    <w:rsid w:val="14E550C9"/>
    <w:rsid w:val="15133833"/>
    <w:rsid w:val="185B067A"/>
    <w:rsid w:val="18632606"/>
    <w:rsid w:val="1E8357D7"/>
    <w:rsid w:val="21995913"/>
    <w:rsid w:val="25643039"/>
    <w:rsid w:val="2DC53AED"/>
    <w:rsid w:val="31E15A5A"/>
    <w:rsid w:val="34DD5A82"/>
    <w:rsid w:val="374E28C8"/>
    <w:rsid w:val="37657C1C"/>
    <w:rsid w:val="3C817BC3"/>
    <w:rsid w:val="3D163F69"/>
    <w:rsid w:val="41547D19"/>
    <w:rsid w:val="44244685"/>
    <w:rsid w:val="475D300D"/>
    <w:rsid w:val="4AD17C36"/>
    <w:rsid w:val="4D7C61E9"/>
    <w:rsid w:val="51AA557E"/>
    <w:rsid w:val="52F70803"/>
    <w:rsid w:val="566C07CB"/>
    <w:rsid w:val="57223744"/>
    <w:rsid w:val="5B2979B4"/>
    <w:rsid w:val="60630365"/>
    <w:rsid w:val="616E1270"/>
    <w:rsid w:val="6A573C95"/>
    <w:rsid w:val="6C233EEF"/>
    <w:rsid w:val="735D69FE"/>
    <w:rsid w:val="78942250"/>
    <w:rsid w:val="7A541CE5"/>
    <w:rsid w:val="7D690650"/>
    <w:rsid w:val="7F2733A9"/>
  </w:rsids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32"/>
      <w:lang w:val="en-US" w:eastAsia="zh-CN" w:bidi="bo-CN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unhideWhenUsed/>
    <w:uiPriority w:val="99"/>
    <w:rPr>
      <w:sz w:val="18"/>
      <w:szCs w:val="26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6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6"/>
    </w:rPr>
  </w:style>
  <w:style w:type="paragraph" w:styleId="5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lang w:bidi="ar-SA"/>
    </w:rPr>
  </w:style>
  <w:style w:type="character" w:styleId="7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页眉 Char"/>
    <w:basedOn w:val="6"/>
    <w:link w:val="4"/>
    <w:uiPriority w:val="99"/>
    <w:rPr>
      <w:sz w:val="18"/>
      <w:szCs w:val="26"/>
    </w:rPr>
  </w:style>
  <w:style w:type="character" w:customStyle="1" w:styleId="10">
    <w:name w:val="页脚 Char"/>
    <w:basedOn w:val="6"/>
    <w:link w:val="3"/>
    <w:uiPriority w:val="99"/>
    <w:rPr>
      <w:sz w:val="18"/>
      <w:szCs w:val="26"/>
    </w:rPr>
  </w:style>
  <w:style w:type="character" w:customStyle="1" w:styleId="11">
    <w:name w:val="span1"/>
    <w:basedOn w:val="6"/>
    <w:uiPriority w:val="0"/>
  </w:style>
  <w:style w:type="character" w:customStyle="1" w:styleId="12">
    <w:name w:val="leaidx"/>
    <w:basedOn w:val="6"/>
    <w:uiPriority w:val="0"/>
  </w:style>
  <w:style w:type="character" w:customStyle="1" w:styleId="13">
    <w:name w:val="gwds_more"/>
    <w:basedOn w:val="6"/>
    <w:uiPriority w:val="0"/>
  </w:style>
  <w:style w:type="character" w:customStyle="1" w:styleId="14">
    <w:name w:val="apple-converted-space"/>
    <w:basedOn w:val="6"/>
    <w:qFormat/>
    <w:uiPriority w:val="0"/>
  </w:style>
  <w:style w:type="character" w:customStyle="1" w:styleId="15">
    <w:name w:val="批注框文本 Char"/>
    <w:basedOn w:val="6"/>
    <w:link w:val="2"/>
    <w:semiHidden/>
    <w:uiPriority w:val="99"/>
    <w:rPr>
      <w:sz w:val="18"/>
      <w:szCs w:val="26"/>
    </w:rPr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kern w:val="0"/>
      <w:sz w:val="24"/>
      <w:szCs w:val="24"/>
      <w:lang w:val="en-US" w:eastAsia="zh-CN" w:bidi="ar-SA"/>
    </w:rPr>
  </w:style>
  <w:style w:type="character" w:customStyle="1" w:styleId="17">
    <w:name w:val="标题 Char"/>
    <w:basedOn w:val="6"/>
    <w:link w:val="5"/>
    <w:uiPriority w:val="0"/>
    <w:rPr>
      <w:rFonts w:ascii="Cambria" w:hAnsi="Cambria" w:eastAsia="宋体" w:cs="Times New Roman"/>
      <w:b/>
      <w:bCs/>
      <w:sz w:val="3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2ACF91-6615-48DA-81DD-F56CFED4EB9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15</Pages>
  <Words>808</Words>
  <Characters>4608</Characters>
  <Lines>38</Lines>
  <Paragraphs>10</Paragraphs>
  <ScaleCrop>false</ScaleCrop>
  <LinksUpToDate>false</LinksUpToDate>
  <CharactersWithSpaces>5406</CharactersWithSpaces>
  <Application>WPS Office_10.1.0.5772_F1E327BC-269C-435d-A152-05C5408002CA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2019-04-19T12:40:00Z</dcterms:created>
  <dc:creator>Microsoft</dc:creator>
  <cp:lastModifiedBy>Administrator</cp:lastModifiedBy>
  <cp:lastPrinted>2019-04-22T06:46:00Z</cp:lastPrinted>
  <dcterms:modified xsi:type="dcterms:W3CDTF">2019-04-24T08:09:40Z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2052-10.1.0.5772</vt:lpwstr>
  </property>
</Properties>
</file>