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B4329">
      <w:pPr>
        <w:pStyle w:val="2"/>
        <w:ind w:left="0" w:firstLine="0" w:firstLineChars="0"/>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5B626E35">
      <w:pPr>
        <w:pStyle w:val="2"/>
        <w:ind w:firstLine="440" w:firstLineChars="100"/>
        <w:jc w:val="center"/>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lang w:eastAsia="zh-CN"/>
        </w:rPr>
        <w:t>西藏</w:t>
      </w:r>
      <w:r>
        <w:rPr>
          <w:rFonts w:hint="eastAsia" w:ascii="方正小标宋简体" w:hAnsi="方正小标宋简体" w:eastAsia="方正小标宋简体" w:cs="方正小标宋简体"/>
          <w:color w:val="auto"/>
        </w:rPr>
        <w:t>自治区药品监督管理局</w:t>
      </w:r>
      <w:r>
        <w:rPr>
          <w:rFonts w:hint="eastAsia" w:ascii="方正小标宋简体" w:hAnsi="方正小标宋简体" w:eastAsia="方正小标宋简体" w:cs="方正小标宋简体"/>
          <w:color w:val="auto"/>
          <w:lang w:eastAsia="zh-CN"/>
        </w:rPr>
        <w:t>药品</w:t>
      </w:r>
      <w:r>
        <w:rPr>
          <w:rFonts w:hint="eastAsia" w:ascii="方正小标宋简体" w:hAnsi="方正小标宋简体" w:eastAsia="方正小标宋简体" w:cs="方正小标宋简体"/>
          <w:color w:val="auto"/>
        </w:rPr>
        <w:t>行政处罚裁量基准（试行）</w:t>
      </w:r>
    </w:p>
    <w:p w14:paraId="5389CBB1">
      <w:pPr>
        <w:pStyle w:val="4"/>
        <w:spacing w:before="18"/>
        <w:ind w:left="6360" w:right="6360"/>
        <w:jc w:val="both"/>
        <w:rPr>
          <w:rFonts w:hint="eastAsia" w:ascii="黑体" w:eastAsia="黑体"/>
          <w:color w:val="auto"/>
        </w:rPr>
      </w:pPr>
      <w:r>
        <w:rPr>
          <w:rFonts w:hint="eastAsia" w:ascii="黑体" w:eastAsia="黑体"/>
          <w:color w:val="auto"/>
        </w:rPr>
        <w:t>使用说明</w:t>
      </w:r>
      <w:bookmarkStart w:id="0" w:name="_GoBack"/>
      <w:bookmarkEnd w:id="0"/>
    </w:p>
    <w:p w14:paraId="0FEB532B">
      <w:pPr>
        <w:pStyle w:val="4"/>
        <w:jc w:val="both"/>
        <w:rPr>
          <w:rFonts w:ascii="黑体"/>
          <w:color w:val="auto"/>
        </w:rPr>
      </w:pPr>
    </w:p>
    <w:p w14:paraId="12FAAF60">
      <w:pPr>
        <w:pStyle w:val="4"/>
        <w:spacing w:before="165"/>
        <w:ind w:left="772"/>
        <w:jc w:val="both"/>
        <w:rPr>
          <w:rFonts w:hint="eastAsia" w:ascii="方正书宋_GBK" w:hAnsi="方正书宋_GBK" w:eastAsia="方正书宋_GBK" w:cs="方正书宋_GBK"/>
          <w:b w:val="0"/>
          <w:bCs w:val="0"/>
          <w:color w:val="auto"/>
          <w:spacing w:val="-12"/>
          <w:w w:val="99"/>
          <w:sz w:val="21"/>
        </w:rPr>
      </w:pPr>
    </w:p>
    <w:p w14:paraId="5F790E32">
      <w:pPr>
        <w:pStyle w:val="4"/>
        <w:spacing w:before="165" w:line="240" w:lineRule="auto"/>
        <w:ind w:left="772" w:right="0" w:firstLine="0"/>
        <w:jc w:val="both"/>
        <w:rPr>
          <w:rFonts w:hint="eastAsia" w:ascii="方正书宋_GBK" w:hAnsi="方正书宋_GBK" w:eastAsia="方正书宋_GBK" w:cs="方正书宋_GBK"/>
          <w:b w:val="0"/>
          <w:bCs w:val="0"/>
          <w:color w:val="auto"/>
          <w:spacing w:val="-13"/>
          <w:w w:val="99"/>
        </w:rPr>
      </w:pPr>
      <w:r>
        <w:rPr>
          <w:rFonts w:hint="eastAsia" w:ascii="方正书宋_GBK" w:hAnsi="方正书宋_GBK" w:eastAsia="方正书宋_GBK" w:cs="方正书宋_GBK"/>
          <w:b w:val="0"/>
          <w:bCs w:val="0"/>
          <w:color w:val="auto"/>
          <w:spacing w:val="-12"/>
          <w:w w:val="99"/>
        </w:rPr>
        <w:t>一</w:t>
      </w:r>
      <w:r>
        <w:rPr>
          <w:rFonts w:hint="eastAsia" w:ascii="方正书宋_GBK" w:hAnsi="方正书宋_GBK" w:eastAsia="方正书宋_GBK" w:cs="方正书宋_GBK"/>
          <w:b w:val="0"/>
          <w:bCs w:val="0"/>
          <w:color w:val="auto"/>
          <w:spacing w:val="-13"/>
          <w:w w:val="99"/>
        </w:rPr>
        <w:t>、本基准只涉及</w:t>
      </w:r>
      <w:r>
        <w:rPr>
          <w:rFonts w:hint="eastAsia" w:ascii="方正书宋_GBK" w:hAnsi="方正书宋_GBK" w:eastAsia="方正书宋_GBK" w:cs="方正书宋_GBK"/>
          <w:b w:val="0"/>
          <w:bCs w:val="0"/>
          <w:color w:val="auto"/>
          <w:spacing w:val="-13"/>
          <w:w w:val="99"/>
          <w:lang w:eastAsia="zh-CN"/>
        </w:rPr>
        <w:t>药品行</w:t>
      </w:r>
      <w:r>
        <w:rPr>
          <w:rFonts w:hint="eastAsia" w:ascii="方正书宋_GBK" w:hAnsi="方正书宋_GBK" w:eastAsia="方正书宋_GBK" w:cs="方正书宋_GBK"/>
          <w:b w:val="0"/>
          <w:bCs w:val="0"/>
          <w:color w:val="auto"/>
          <w:spacing w:val="-13"/>
          <w:w w:val="99"/>
        </w:rPr>
        <w:t>政处罚罚款自由裁</w:t>
      </w:r>
      <w:r>
        <w:rPr>
          <w:rFonts w:hint="eastAsia" w:ascii="方正书宋_GBK" w:hAnsi="方正书宋_GBK" w:eastAsia="方正书宋_GBK" w:cs="方正书宋_GBK"/>
          <w:b w:val="0"/>
          <w:bCs w:val="0"/>
          <w:color w:val="auto"/>
          <w:spacing w:val="-13"/>
          <w:w w:val="99"/>
          <w:lang w:eastAsia="zh-CN"/>
        </w:rPr>
        <w:t>量的</w:t>
      </w:r>
      <w:r>
        <w:rPr>
          <w:rFonts w:hint="eastAsia" w:ascii="方正书宋_GBK" w:hAnsi="方正书宋_GBK" w:eastAsia="方正书宋_GBK" w:cs="方正书宋_GBK"/>
          <w:b w:val="0"/>
          <w:bCs w:val="0"/>
          <w:color w:val="auto"/>
          <w:spacing w:val="-13"/>
          <w:w w:val="99"/>
        </w:rPr>
        <w:t>适用情形，警告、没收违法物品及违法所得、责令停产停业、吊销许可证件、限制从业等不涉及自由裁量的，按照法律法规的规定进行适用。</w:t>
      </w:r>
    </w:p>
    <w:p w14:paraId="1BFD95F3">
      <w:pPr>
        <w:pStyle w:val="4"/>
        <w:spacing w:line="338" w:lineRule="auto"/>
        <w:ind w:left="131" w:right="129" w:firstLine="641"/>
        <w:jc w:val="both"/>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rPr>
        <w:t>二、本基准内容和语言表述与法律、法规、规章规定不一致的应当以法律、法规、规章规定为准。</w:t>
      </w:r>
    </w:p>
    <w:p w14:paraId="6B4940C0">
      <w:pPr>
        <w:pStyle w:val="4"/>
        <w:spacing w:line="408" w:lineRule="exact"/>
        <w:ind w:left="772"/>
        <w:jc w:val="both"/>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spacing w:val="-13"/>
          <w:w w:val="99"/>
        </w:rPr>
        <w:t>三、本裁量基准中“以上”“以下”的含义如下：</w:t>
      </w:r>
    </w:p>
    <w:p w14:paraId="7F25F13E">
      <w:pPr>
        <w:pStyle w:val="4"/>
        <w:spacing w:before="165"/>
        <w:ind w:left="772"/>
        <w:jc w:val="both"/>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spacing w:val="2"/>
          <w:w w:val="99"/>
        </w:rPr>
        <w:t>（</w:t>
      </w:r>
      <w:r>
        <w:rPr>
          <w:rFonts w:hint="eastAsia" w:ascii="方正书宋_GBK" w:hAnsi="方正书宋_GBK" w:eastAsia="方正书宋_GBK" w:cs="方正书宋_GBK"/>
          <w:b w:val="0"/>
          <w:bCs w:val="0"/>
          <w:color w:val="auto"/>
          <w:w w:val="99"/>
        </w:rPr>
        <w:t>一）</w:t>
      </w:r>
      <w:r>
        <w:rPr>
          <w:rFonts w:hint="eastAsia" w:ascii="方正书宋_GBK" w:hAnsi="方正书宋_GBK" w:eastAsia="方正书宋_GBK" w:cs="方正书宋_GBK"/>
          <w:b w:val="0"/>
          <w:bCs w:val="0"/>
          <w:color w:val="auto"/>
          <w:spacing w:val="-12"/>
          <w:w w:val="99"/>
        </w:rPr>
        <w:t>减轻处罚的“以上”含本数，“以下”不含本数；</w:t>
      </w:r>
    </w:p>
    <w:p w14:paraId="480215E2">
      <w:pPr>
        <w:pStyle w:val="4"/>
        <w:spacing w:before="168"/>
        <w:ind w:left="772"/>
        <w:jc w:val="both"/>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spacing w:val="2"/>
          <w:w w:val="99"/>
        </w:rPr>
        <w:t>（</w:t>
      </w:r>
      <w:r>
        <w:rPr>
          <w:rFonts w:hint="eastAsia" w:ascii="方正书宋_GBK" w:hAnsi="方正书宋_GBK" w:eastAsia="方正书宋_GBK" w:cs="方正书宋_GBK"/>
          <w:b w:val="0"/>
          <w:bCs w:val="0"/>
          <w:color w:val="auto"/>
          <w:w w:val="99"/>
        </w:rPr>
        <w:t>二）</w:t>
      </w:r>
      <w:r>
        <w:rPr>
          <w:rFonts w:hint="eastAsia" w:ascii="方正书宋_GBK" w:hAnsi="方正书宋_GBK" w:eastAsia="方正书宋_GBK" w:cs="方正书宋_GBK"/>
          <w:b w:val="0"/>
          <w:bCs w:val="0"/>
          <w:color w:val="auto"/>
          <w:spacing w:val="-13"/>
          <w:w w:val="99"/>
        </w:rPr>
        <w:t>从轻、从重处罚的“以上”“以下”均含本数；</w:t>
      </w:r>
    </w:p>
    <w:p w14:paraId="42AD6799">
      <w:pPr>
        <w:pStyle w:val="4"/>
        <w:spacing w:before="166"/>
        <w:ind w:left="772"/>
        <w:jc w:val="both"/>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spacing w:val="2"/>
          <w:w w:val="99"/>
        </w:rPr>
        <w:t>（</w:t>
      </w:r>
      <w:r>
        <w:rPr>
          <w:rFonts w:hint="eastAsia" w:ascii="方正书宋_GBK" w:hAnsi="方正书宋_GBK" w:eastAsia="方正书宋_GBK" w:cs="方正书宋_GBK"/>
          <w:b w:val="0"/>
          <w:bCs w:val="0"/>
          <w:color w:val="auto"/>
          <w:w w:val="99"/>
        </w:rPr>
        <w:t>三）</w:t>
      </w:r>
      <w:r>
        <w:rPr>
          <w:rFonts w:hint="eastAsia" w:ascii="方正书宋_GBK" w:hAnsi="方正书宋_GBK" w:eastAsia="方正书宋_GBK" w:cs="方正书宋_GBK"/>
          <w:b w:val="0"/>
          <w:bCs w:val="0"/>
          <w:color w:val="auto"/>
          <w:spacing w:val="-13"/>
          <w:w w:val="99"/>
        </w:rPr>
        <w:t>一般处罚的“以上”“以下”均不含本数。</w:t>
      </w:r>
    </w:p>
    <w:p w14:paraId="5478C56F">
      <w:pPr>
        <w:pStyle w:val="4"/>
        <w:spacing w:before="169" w:line="338" w:lineRule="auto"/>
        <w:ind w:left="131" w:right="129" w:firstLine="641"/>
        <w:jc w:val="both"/>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rPr>
        <w:t>四、裁量基准栏中列明的罚款数据仅供参考。案件查办中涉及罚款的，应当依照《</w:t>
      </w:r>
      <w:r>
        <w:rPr>
          <w:rFonts w:hint="eastAsia" w:ascii="方正书宋_GBK" w:hAnsi="方正书宋_GBK" w:eastAsia="方正书宋_GBK" w:cs="方正书宋_GBK"/>
          <w:b w:val="0"/>
          <w:bCs w:val="0"/>
          <w:color w:val="auto"/>
          <w:lang w:val="en-US" w:eastAsia="zh-CN"/>
        </w:rPr>
        <w:t xml:space="preserve"> 西藏</w:t>
      </w:r>
      <w:r>
        <w:rPr>
          <w:rFonts w:hint="eastAsia" w:ascii="方正书宋_GBK" w:hAnsi="方正书宋_GBK" w:eastAsia="方正书宋_GBK" w:cs="方正书宋_GBK"/>
          <w:b w:val="0"/>
          <w:bCs w:val="0"/>
          <w:color w:val="auto"/>
        </w:rPr>
        <w:t>自治区药品监督管理局行政处罚裁量权适用规定》进行准确计算。</w:t>
      </w:r>
    </w:p>
    <w:p w14:paraId="7FBDD103">
      <w:pPr>
        <w:spacing w:after="0" w:line="338" w:lineRule="auto"/>
        <w:jc w:val="both"/>
        <w:rPr>
          <w:rFonts w:hint="eastAsia" w:ascii="方正书宋_GBK" w:hAnsi="方正书宋_GBK" w:eastAsia="方正书宋_GBK" w:cs="方正书宋_GBK"/>
          <w:b w:val="0"/>
          <w:bCs w:val="0"/>
          <w:color w:val="auto"/>
        </w:rPr>
        <w:sectPr>
          <w:footerReference r:id="rId3" w:type="default"/>
          <w:pgSz w:w="16840" w:h="11910" w:orient="landscape"/>
          <w:pgMar w:top="1100" w:right="1400" w:bottom="1760" w:left="1400" w:header="0" w:footer="1572" w:gutter="0"/>
          <w:pgNumType w:fmt="numberInDash" w:start="16"/>
          <w:cols w:space="720" w:num="1"/>
        </w:sectPr>
      </w:pPr>
    </w:p>
    <w:p w14:paraId="5246ACE7">
      <w:pPr>
        <w:adjustRightInd w:val="0"/>
        <w:jc w:val="both"/>
        <w:rPr>
          <w:rFonts w:ascii="仿宋" w:hAnsi="Times New Roman" w:eastAsia="仿宋" w:cs="Times New Roman"/>
          <w:color w:val="auto"/>
          <w:sz w:val="32"/>
          <w:szCs w:val="20"/>
        </w:rPr>
      </w:pPr>
    </w:p>
    <w:tbl>
      <w:tblPr>
        <w:tblStyle w:val="6"/>
        <w:tblW w:w="13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83"/>
        <w:gridCol w:w="2714"/>
        <w:gridCol w:w="2715"/>
        <w:gridCol w:w="2715"/>
        <w:gridCol w:w="3900"/>
      </w:tblGrid>
      <w:tr w14:paraId="39AD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62" w:type="dxa"/>
            <w:vMerge w:val="restart"/>
            <w:vAlign w:val="center"/>
          </w:tcPr>
          <w:p w14:paraId="1DA2771A">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1</w:t>
            </w:r>
          </w:p>
        </w:tc>
        <w:tc>
          <w:tcPr>
            <w:tcW w:w="1183" w:type="dxa"/>
            <w:vAlign w:val="center"/>
          </w:tcPr>
          <w:p w14:paraId="697751C1">
            <w:pPr>
              <w:widowControl/>
              <w:adjustRightInd w:val="0"/>
              <w:snapToGrid w:val="0"/>
              <w:jc w:val="both"/>
              <w:rPr>
                <w:rFonts w:ascii="仿宋" w:hAnsi="仿宋" w:eastAsia="仿宋" w:cs="Arial"/>
                <w:b/>
                <w:bCs/>
                <w:color w:val="auto"/>
                <w:szCs w:val="21"/>
              </w:rPr>
            </w:pPr>
            <w:r>
              <w:rPr>
                <w:rFonts w:hint="eastAsia" w:ascii="仿宋" w:hAnsi="仿宋" w:eastAsia="仿宋" w:cs="Arial"/>
                <w:b/>
                <w:bCs/>
                <w:color w:val="auto"/>
                <w:szCs w:val="21"/>
              </w:rPr>
              <w:t>违法行为</w:t>
            </w:r>
          </w:p>
        </w:tc>
        <w:tc>
          <w:tcPr>
            <w:tcW w:w="12044" w:type="dxa"/>
            <w:gridSpan w:val="4"/>
            <w:vAlign w:val="center"/>
          </w:tcPr>
          <w:p w14:paraId="411D814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未取得药品生产许可证、药品经营许可证或者医疗机构制剂许可证生产销售药品的</w:t>
            </w:r>
          </w:p>
        </w:tc>
      </w:tr>
      <w:tr w14:paraId="2A6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7" w:hRule="atLeast"/>
          <w:jc w:val="center"/>
        </w:trPr>
        <w:tc>
          <w:tcPr>
            <w:tcW w:w="562" w:type="dxa"/>
            <w:vMerge w:val="continue"/>
            <w:vAlign w:val="center"/>
          </w:tcPr>
          <w:p w14:paraId="2A29007B">
            <w:pPr>
              <w:widowControl/>
              <w:adjustRightInd w:val="0"/>
              <w:snapToGrid w:val="0"/>
              <w:jc w:val="both"/>
              <w:rPr>
                <w:rFonts w:ascii="仿宋" w:hAnsi="仿宋" w:eastAsia="仿宋" w:cs="Arial"/>
                <w:color w:val="auto"/>
                <w:szCs w:val="21"/>
              </w:rPr>
            </w:pPr>
          </w:p>
        </w:tc>
        <w:tc>
          <w:tcPr>
            <w:tcW w:w="1183" w:type="dxa"/>
            <w:vAlign w:val="center"/>
          </w:tcPr>
          <w:p w14:paraId="208BED2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044" w:type="dxa"/>
            <w:gridSpan w:val="4"/>
            <w:vAlign w:val="center"/>
          </w:tcPr>
          <w:p w14:paraId="776CF12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第一百一十五条：</w:t>
            </w:r>
            <w:r>
              <w:rPr>
                <w:rFonts w:hint="eastAsia" w:ascii="仿宋" w:hAnsi="仿宋" w:eastAsia="仿宋" w:cs="Arial"/>
                <w:color w:val="auto"/>
                <w:szCs w:val="21"/>
              </w:rPr>
              <w:t>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p>
          <w:p w14:paraId="469E98A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《药品生产监督管理办法》第六十八条：</w:t>
            </w:r>
            <w:r>
              <w:rPr>
                <w:rFonts w:hint="eastAsia" w:ascii="仿宋" w:hAnsi="仿宋" w:eastAsia="仿宋" w:cs="Arial"/>
                <w:color w:val="auto"/>
                <w:szCs w:val="21"/>
              </w:rPr>
              <w:t>有下列情形之一的，按照</w:t>
            </w:r>
            <w:r>
              <w:rPr>
                <w:rFonts w:hint="eastAsia" w:ascii="仿宋" w:hAnsi="仿宋" w:eastAsia="仿宋" w:cs="Arial"/>
                <w:color w:val="auto"/>
                <w:szCs w:val="21"/>
                <w:lang w:eastAsia="zh-CN"/>
              </w:rPr>
              <w:t>《中华人民共和国药品管理法》</w:t>
            </w:r>
            <w:r>
              <w:rPr>
                <w:rFonts w:hint="eastAsia" w:ascii="仿宋" w:hAnsi="仿宋" w:eastAsia="仿宋" w:cs="Arial"/>
                <w:color w:val="auto"/>
                <w:szCs w:val="21"/>
              </w:rPr>
              <w:t>第一百一十五条给予处罚：</w:t>
            </w:r>
          </w:p>
          <w:p w14:paraId="5F27286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（一）药品上市许可持有人和药品生产企业变更生产地址、生产范围应当经批准而未经批准的；</w:t>
            </w:r>
          </w:p>
          <w:p w14:paraId="41ABD475">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（二）药品生产许可证超过有效期限仍进行生产的。</w:t>
            </w:r>
          </w:p>
        </w:tc>
      </w:tr>
      <w:tr w14:paraId="189D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62" w:type="dxa"/>
            <w:vMerge w:val="continue"/>
            <w:vAlign w:val="center"/>
          </w:tcPr>
          <w:p w14:paraId="5038828B">
            <w:pPr>
              <w:widowControl/>
              <w:adjustRightInd w:val="0"/>
              <w:snapToGrid w:val="0"/>
              <w:jc w:val="both"/>
              <w:rPr>
                <w:rFonts w:ascii="仿宋" w:hAnsi="仿宋" w:eastAsia="仿宋" w:cs="Arial"/>
                <w:color w:val="auto"/>
                <w:szCs w:val="21"/>
              </w:rPr>
            </w:pPr>
          </w:p>
        </w:tc>
        <w:tc>
          <w:tcPr>
            <w:tcW w:w="1183" w:type="dxa"/>
            <w:vAlign w:val="center"/>
          </w:tcPr>
          <w:p w14:paraId="12BC259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714" w:type="dxa"/>
            <w:vAlign w:val="center"/>
          </w:tcPr>
          <w:p w14:paraId="66BF205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715" w:type="dxa"/>
            <w:vAlign w:val="center"/>
          </w:tcPr>
          <w:p w14:paraId="6894D25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715" w:type="dxa"/>
            <w:vAlign w:val="center"/>
          </w:tcPr>
          <w:p w14:paraId="1256D8F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900" w:type="dxa"/>
            <w:vAlign w:val="center"/>
          </w:tcPr>
          <w:p w14:paraId="38C36A1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5799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562" w:type="dxa"/>
            <w:vMerge w:val="continue"/>
            <w:vAlign w:val="center"/>
          </w:tcPr>
          <w:p w14:paraId="1A75F6F9">
            <w:pPr>
              <w:widowControl/>
              <w:adjustRightInd w:val="0"/>
              <w:snapToGrid w:val="0"/>
              <w:jc w:val="both"/>
              <w:rPr>
                <w:rFonts w:ascii="仿宋" w:hAnsi="仿宋" w:eastAsia="仿宋" w:cs="Arial"/>
                <w:color w:val="auto"/>
                <w:szCs w:val="21"/>
              </w:rPr>
            </w:pPr>
          </w:p>
        </w:tc>
        <w:tc>
          <w:tcPr>
            <w:tcW w:w="1183" w:type="dxa"/>
            <w:vAlign w:val="center"/>
          </w:tcPr>
          <w:p w14:paraId="501CBBF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2714" w:type="dxa"/>
            <w:vAlign w:val="center"/>
          </w:tcPr>
          <w:p w14:paraId="0C90873A">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715" w:type="dxa"/>
            <w:vAlign w:val="center"/>
          </w:tcPr>
          <w:p w14:paraId="08E59A4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715" w:type="dxa"/>
            <w:vAlign w:val="center"/>
          </w:tcPr>
          <w:p w14:paraId="393A7418">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900" w:type="dxa"/>
            <w:vAlign w:val="center"/>
          </w:tcPr>
          <w:p w14:paraId="5095ECD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（一）责令关闭后擅自恢复生产或经营的；</w:t>
            </w:r>
          </w:p>
          <w:p w14:paraId="17C5471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（二）经监管部门责令改正，仍未办理的；</w:t>
            </w:r>
          </w:p>
          <w:p w14:paraId="6DD59BB8">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（三）其他符合裁量规则从重行政处罚情形的。</w:t>
            </w:r>
          </w:p>
        </w:tc>
      </w:tr>
      <w:tr w14:paraId="7E24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6" w:hRule="atLeast"/>
          <w:jc w:val="center"/>
        </w:trPr>
        <w:tc>
          <w:tcPr>
            <w:tcW w:w="562" w:type="dxa"/>
            <w:vMerge w:val="continue"/>
            <w:vAlign w:val="center"/>
          </w:tcPr>
          <w:p w14:paraId="197976B2">
            <w:pPr>
              <w:widowControl/>
              <w:adjustRightInd w:val="0"/>
              <w:snapToGrid w:val="0"/>
              <w:jc w:val="both"/>
              <w:rPr>
                <w:rFonts w:ascii="仿宋" w:hAnsi="仿宋" w:eastAsia="仿宋" w:cs="Arial"/>
                <w:color w:val="auto"/>
                <w:szCs w:val="21"/>
              </w:rPr>
            </w:pPr>
          </w:p>
        </w:tc>
        <w:tc>
          <w:tcPr>
            <w:tcW w:w="1183" w:type="dxa"/>
            <w:vAlign w:val="center"/>
          </w:tcPr>
          <w:p w14:paraId="6E4A7A6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2714" w:type="dxa"/>
            <w:vAlign w:val="center"/>
          </w:tcPr>
          <w:p w14:paraId="579EE628">
            <w:pPr>
              <w:widowControl/>
              <w:adjustRightInd w:val="0"/>
              <w:snapToGrid w:val="0"/>
              <w:jc w:val="both"/>
              <w:rPr>
                <w:rFonts w:ascii="仿宋" w:hAnsi="仿宋" w:eastAsia="仿宋" w:cs="Arial"/>
                <w:b/>
                <w:bCs/>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责令关闭；</w:t>
            </w:r>
          </w:p>
          <w:p w14:paraId="33123B5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没收违法生产、销售的药品和违法所得；</w:t>
            </w:r>
          </w:p>
          <w:p w14:paraId="13040C9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并处违法生产销售的药品货值金额1.5倍以上至15倍以下的罚款；</w:t>
            </w:r>
          </w:p>
          <w:p w14:paraId="47B0B78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货值金额不足10万元的，按10万元计算。</w:t>
            </w:r>
          </w:p>
        </w:tc>
        <w:tc>
          <w:tcPr>
            <w:tcW w:w="2715" w:type="dxa"/>
            <w:vAlign w:val="center"/>
          </w:tcPr>
          <w:p w14:paraId="6288B97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责令关闭；</w:t>
            </w:r>
          </w:p>
          <w:p w14:paraId="17C02BB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没收违法生产、销售的药品和违法所得；</w:t>
            </w:r>
          </w:p>
          <w:p w14:paraId="6EBB52C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并处违法生产销售的药品货值金额15倍以上至19.5倍以下的罚款；</w:t>
            </w:r>
          </w:p>
          <w:p w14:paraId="5D0AC6E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货值金额不足10万元的，按10万元计算。</w:t>
            </w:r>
          </w:p>
        </w:tc>
        <w:tc>
          <w:tcPr>
            <w:tcW w:w="2715" w:type="dxa"/>
            <w:vAlign w:val="center"/>
          </w:tcPr>
          <w:p w14:paraId="58B90D1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责令关闭；</w:t>
            </w:r>
          </w:p>
          <w:p w14:paraId="19263FF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没收违法生产、销售的药品和违法所得；</w:t>
            </w:r>
          </w:p>
          <w:p w14:paraId="5CA9F2D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并处违法生产销售的药品货值金额19.5倍以上至25.5倍以下的罚款；</w:t>
            </w:r>
          </w:p>
          <w:p w14:paraId="39D4BC4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货值金额不足10万元的，按10万元计算。</w:t>
            </w:r>
          </w:p>
        </w:tc>
        <w:tc>
          <w:tcPr>
            <w:tcW w:w="3900" w:type="dxa"/>
            <w:vAlign w:val="center"/>
          </w:tcPr>
          <w:p w14:paraId="13A4604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责令关闭；</w:t>
            </w:r>
          </w:p>
          <w:p w14:paraId="0464A2A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没收违法生产、销售的药品和违法所得；</w:t>
            </w:r>
          </w:p>
          <w:p w14:paraId="69BE697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并处违法生产销售的药品货值金额25.5倍以上至30倍以下的罚款；</w:t>
            </w:r>
          </w:p>
          <w:p w14:paraId="6BDE025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货值金额不足10万元的，按10万元计算。</w:t>
            </w:r>
          </w:p>
        </w:tc>
      </w:tr>
    </w:tbl>
    <w:p w14:paraId="02C1BABD">
      <w:pPr>
        <w:widowControl/>
        <w:tabs>
          <w:tab w:val="left" w:pos="562"/>
          <w:tab w:val="left" w:pos="1745"/>
          <w:tab w:val="left" w:pos="4126"/>
          <w:tab w:val="left" w:pos="6339"/>
          <w:tab w:val="left" w:pos="9146"/>
        </w:tabs>
        <w:adjustRightInd w:val="0"/>
        <w:snapToGrid w:val="0"/>
        <w:jc w:val="both"/>
        <w:rPr>
          <w:rFonts w:ascii="仿宋" w:hAnsi="仿宋" w:eastAsia="仿宋" w:cs="Arial"/>
          <w:b/>
          <w:bCs/>
          <w:color w:val="auto"/>
          <w:szCs w:val="21"/>
        </w:rPr>
      </w:pPr>
    </w:p>
    <w:p w14:paraId="1F14105E">
      <w:pPr>
        <w:widowControl/>
        <w:tabs>
          <w:tab w:val="left" w:pos="562"/>
          <w:tab w:val="left" w:pos="1745"/>
          <w:tab w:val="left" w:pos="4126"/>
          <w:tab w:val="left" w:pos="6339"/>
          <w:tab w:val="left" w:pos="9146"/>
        </w:tabs>
        <w:adjustRightInd w:val="0"/>
        <w:snapToGrid w:val="0"/>
        <w:jc w:val="both"/>
        <w:rPr>
          <w:rFonts w:ascii="仿宋" w:hAnsi="仿宋" w:eastAsia="仿宋" w:cs="Arial"/>
          <w:b/>
          <w:bCs/>
          <w:color w:val="auto"/>
          <w:szCs w:val="21"/>
        </w:rPr>
      </w:pPr>
    </w:p>
    <w:tbl>
      <w:tblPr>
        <w:tblStyle w:val="6"/>
        <w:tblW w:w="13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91"/>
        <w:gridCol w:w="592"/>
        <w:gridCol w:w="3413"/>
        <w:gridCol w:w="2813"/>
        <w:gridCol w:w="2872"/>
        <w:gridCol w:w="2946"/>
      </w:tblGrid>
      <w:tr w14:paraId="1EB7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Merge w:val="restart"/>
            <w:vAlign w:val="center"/>
          </w:tcPr>
          <w:p w14:paraId="22039D9D">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2</w:t>
            </w:r>
          </w:p>
        </w:tc>
        <w:tc>
          <w:tcPr>
            <w:tcW w:w="1183" w:type="dxa"/>
            <w:gridSpan w:val="2"/>
            <w:vAlign w:val="center"/>
          </w:tcPr>
          <w:p w14:paraId="13750EE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044" w:type="dxa"/>
            <w:gridSpan w:val="4"/>
            <w:vAlign w:val="center"/>
          </w:tcPr>
          <w:p w14:paraId="13A9CA6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生产、销售假药的</w:t>
            </w:r>
          </w:p>
        </w:tc>
      </w:tr>
      <w:tr w14:paraId="42CB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62" w:type="dxa"/>
            <w:vMerge w:val="continue"/>
            <w:vAlign w:val="center"/>
          </w:tcPr>
          <w:p w14:paraId="067D599E">
            <w:pPr>
              <w:widowControl/>
              <w:adjustRightInd w:val="0"/>
              <w:snapToGrid w:val="0"/>
              <w:jc w:val="both"/>
              <w:rPr>
                <w:rFonts w:ascii="仿宋" w:hAnsi="仿宋" w:eastAsia="仿宋" w:cs="Arial"/>
                <w:color w:val="auto"/>
                <w:szCs w:val="21"/>
              </w:rPr>
            </w:pPr>
          </w:p>
        </w:tc>
        <w:tc>
          <w:tcPr>
            <w:tcW w:w="1183" w:type="dxa"/>
            <w:gridSpan w:val="2"/>
            <w:vAlign w:val="center"/>
          </w:tcPr>
          <w:p w14:paraId="65708AB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044" w:type="dxa"/>
            <w:gridSpan w:val="4"/>
            <w:vAlign w:val="center"/>
          </w:tcPr>
          <w:p w14:paraId="46DB3AD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第一百一十六条：</w:t>
            </w:r>
            <w:r>
              <w:rPr>
                <w:rFonts w:hint="eastAsia" w:ascii="仿宋" w:hAnsi="仿宋" w:eastAsia="仿宋" w:cs="Arial"/>
                <w:color w:val="auto"/>
                <w:szCs w:val="21"/>
              </w:rPr>
              <w:t>生产、销售假药的，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w:t>
            </w:r>
          </w:p>
          <w:p w14:paraId="4D96171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第一百一十八条第二款：</w:t>
            </w:r>
            <w:r>
              <w:rPr>
                <w:rFonts w:hint="eastAsia" w:ascii="仿宋" w:hAnsi="仿宋" w:eastAsia="仿宋" w:cs="Arial"/>
                <w:color w:val="auto"/>
                <w:szCs w:val="21"/>
              </w:rPr>
              <w:t>对生产者专门用于生产假药、劣药的原料、辅料、包装材料、生产设备予以没收。</w:t>
            </w:r>
          </w:p>
        </w:tc>
      </w:tr>
      <w:tr w14:paraId="5D25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Merge w:val="continue"/>
            <w:vAlign w:val="center"/>
          </w:tcPr>
          <w:p w14:paraId="0F7DD4C0">
            <w:pPr>
              <w:widowControl/>
              <w:adjustRightInd w:val="0"/>
              <w:snapToGrid w:val="0"/>
              <w:jc w:val="both"/>
              <w:rPr>
                <w:rFonts w:ascii="仿宋" w:hAnsi="仿宋" w:eastAsia="仿宋" w:cs="Arial"/>
                <w:color w:val="auto"/>
                <w:szCs w:val="21"/>
              </w:rPr>
            </w:pPr>
          </w:p>
        </w:tc>
        <w:tc>
          <w:tcPr>
            <w:tcW w:w="1183" w:type="dxa"/>
            <w:gridSpan w:val="2"/>
            <w:vAlign w:val="center"/>
          </w:tcPr>
          <w:p w14:paraId="54714B1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3413" w:type="dxa"/>
            <w:vAlign w:val="center"/>
          </w:tcPr>
          <w:p w14:paraId="05B00FD1">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813" w:type="dxa"/>
            <w:vAlign w:val="center"/>
          </w:tcPr>
          <w:p w14:paraId="4E1C05A9">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872" w:type="dxa"/>
            <w:vAlign w:val="center"/>
          </w:tcPr>
          <w:p w14:paraId="5CC5173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2946" w:type="dxa"/>
            <w:vAlign w:val="center"/>
          </w:tcPr>
          <w:p w14:paraId="05E56DDA">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从重</w:t>
            </w:r>
          </w:p>
        </w:tc>
      </w:tr>
      <w:tr w14:paraId="50C7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62" w:type="dxa"/>
            <w:vMerge w:val="continue"/>
            <w:vAlign w:val="center"/>
          </w:tcPr>
          <w:p w14:paraId="26C5D13F">
            <w:pPr>
              <w:widowControl/>
              <w:adjustRightInd w:val="0"/>
              <w:snapToGrid w:val="0"/>
              <w:jc w:val="both"/>
              <w:rPr>
                <w:rFonts w:ascii="仿宋" w:hAnsi="仿宋" w:eastAsia="仿宋" w:cs="Arial"/>
                <w:color w:val="auto"/>
                <w:szCs w:val="21"/>
              </w:rPr>
            </w:pPr>
          </w:p>
        </w:tc>
        <w:tc>
          <w:tcPr>
            <w:tcW w:w="591" w:type="dxa"/>
            <w:vMerge w:val="restart"/>
            <w:vAlign w:val="center"/>
          </w:tcPr>
          <w:p w14:paraId="5341CEF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592" w:type="dxa"/>
            <w:vAlign w:val="center"/>
          </w:tcPr>
          <w:p w14:paraId="015FED0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一般情</w:t>
            </w:r>
          </w:p>
          <w:p w14:paraId="5650838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形</w:t>
            </w:r>
          </w:p>
        </w:tc>
        <w:tc>
          <w:tcPr>
            <w:tcW w:w="3413" w:type="dxa"/>
            <w:vAlign w:val="center"/>
          </w:tcPr>
          <w:p w14:paraId="6FAEA0D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1.没收违法生产的药品和违法所得；</w:t>
            </w:r>
          </w:p>
          <w:p w14:paraId="0EE46C1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2.吊销药品批准证明文件；</w:t>
            </w:r>
          </w:p>
          <w:p w14:paraId="426B4BF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3.并处违法生产的药品货值金额1.5倍以上15倍以下罚款；</w:t>
            </w:r>
          </w:p>
          <w:p w14:paraId="4AA613F9">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4.对生产者专门用于生产假药的原料、辅料、包装材料、生产设备予以没收；</w:t>
            </w:r>
          </w:p>
          <w:p w14:paraId="272A71B5">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5.货值金额不足10万元的，按10万元计算。</w:t>
            </w:r>
          </w:p>
        </w:tc>
        <w:tc>
          <w:tcPr>
            <w:tcW w:w="2813" w:type="dxa"/>
            <w:vAlign w:val="center"/>
          </w:tcPr>
          <w:p w14:paraId="3121DC5F">
            <w:pPr>
              <w:widowControl/>
              <w:adjustRightInd w:val="0"/>
              <w:snapToGrid w:val="0"/>
              <w:jc w:val="both"/>
              <w:rPr>
                <w:rFonts w:hint="eastAsia" w:ascii="仿宋" w:hAnsi="仿宋" w:eastAsia="仿宋" w:cs="Arial"/>
                <w:color w:val="auto"/>
                <w:szCs w:val="21"/>
              </w:rPr>
            </w:pPr>
            <w:r>
              <w:rPr>
                <w:rFonts w:hint="eastAsia" w:ascii="仿宋" w:hAnsi="仿宋" w:eastAsia="仿宋" w:cs="Arial"/>
                <w:color w:val="auto"/>
                <w:szCs w:val="21"/>
              </w:rPr>
              <w:t>1.没收违法生产的药品和违法所得；</w:t>
            </w:r>
          </w:p>
          <w:p w14:paraId="43E64D55">
            <w:pPr>
              <w:widowControl/>
              <w:adjustRightInd w:val="0"/>
              <w:snapToGrid w:val="0"/>
              <w:jc w:val="both"/>
              <w:rPr>
                <w:rFonts w:hint="eastAsia" w:ascii="仿宋" w:hAnsi="仿宋" w:eastAsia="仿宋" w:cs="Arial"/>
                <w:color w:val="auto"/>
                <w:szCs w:val="21"/>
              </w:rPr>
            </w:pPr>
            <w:r>
              <w:rPr>
                <w:rFonts w:hint="eastAsia" w:ascii="仿宋" w:hAnsi="仿宋" w:eastAsia="仿宋" w:cs="Arial"/>
                <w:color w:val="auto"/>
                <w:szCs w:val="21"/>
              </w:rPr>
              <w:t>2.责令停产停业整顿；</w:t>
            </w:r>
          </w:p>
          <w:p w14:paraId="057C7BF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.吊销药品批准证明文件；</w:t>
            </w:r>
          </w:p>
          <w:p w14:paraId="1F801A6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.并处违法生产的药品货值金额15倍以上19.5倍以下罚款；</w:t>
            </w:r>
          </w:p>
          <w:p w14:paraId="1F99EAF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val="en-US" w:eastAsia="zh-CN"/>
              </w:rPr>
              <w:t>5</w:t>
            </w:r>
            <w:r>
              <w:rPr>
                <w:rFonts w:hint="eastAsia" w:ascii="仿宋" w:hAnsi="仿宋" w:eastAsia="仿宋" w:cs="Arial"/>
                <w:color w:val="auto"/>
                <w:szCs w:val="21"/>
              </w:rPr>
              <w:t>.对生产者专门用于生产假药的原料、辅料、包装材料、生产设备予以没收；</w:t>
            </w:r>
          </w:p>
          <w:p w14:paraId="6F9B7016">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val="en-US" w:eastAsia="zh-CN"/>
              </w:rPr>
              <w:t>6</w:t>
            </w:r>
            <w:r>
              <w:rPr>
                <w:rFonts w:hint="eastAsia" w:ascii="仿宋" w:hAnsi="仿宋" w:eastAsia="仿宋" w:cs="Arial"/>
                <w:color w:val="auto"/>
                <w:szCs w:val="21"/>
              </w:rPr>
              <w:t>.货值金额不足10万元的，按10万元计算。</w:t>
            </w:r>
          </w:p>
        </w:tc>
        <w:tc>
          <w:tcPr>
            <w:tcW w:w="2872" w:type="dxa"/>
            <w:vAlign w:val="center"/>
          </w:tcPr>
          <w:p w14:paraId="223EAF5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1.没收违法生产的药品和违法所得；</w:t>
            </w:r>
          </w:p>
          <w:p w14:paraId="681AC21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2.责令停产停业整顿；</w:t>
            </w:r>
          </w:p>
          <w:p w14:paraId="1003E04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3.吊销药品批准证明文件；</w:t>
            </w:r>
          </w:p>
          <w:p w14:paraId="64E7CA86">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4.并处违法生产的药品货值金额19.5倍以上25.5倍以下罚款；</w:t>
            </w:r>
          </w:p>
          <w:p w14:paraId="62CB815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5.对生产者专门用于生产假药的原料、辅料、包装材料、生产设备予以没收。</w:t>
            </w:r>
          </w:p>
          <w:p w14:paraId="0A63EC7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6.货值金额不足10万元的，按10万元计算；</w:t>
            </w:r>
          </w:p>
        </w:tc>
        <w:tc>
          <w:tcPr>
            <w:tcW w:w="2946" w:type="dxa"/>
            <w:vAlign w:val="center"/>
          </w:tcPr>
          <w:p w14:paraId="2DE9E92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1.没收违法生产的药品和违法所得；</w:t>
            </w:r>
          </w:p>
          <w:p w14:paraId="6255FD12">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2.责令停产停业整顿；</w:t>
            </w:r>
          </w:p>
          <w:p w14:paraId="29D0682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3.吊销药品批准证明文件；</w:t>
            </w:r>
          </w:p>
          <w:p w14:paraId="237A037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4.并处违法生产的药品货值金额25.5倍以上30倍以下罚款；</w:t>
            </w:r>
          </w:p>
          <w:p w14:paraId="0E6A6428">
            <w:pPr>
              <w:jc w:val="both"/>
            </w:pPr>
          </w:p>
          <w:p w14:paraId="1F9A1FE0">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val="en-US" w:eastAsia="zh-CN"/>
              </w:rPr>
              <w:t>5.价</w:t>
            </w:r>
            <w:r>
              <w:rPr>
                <w:rFonts w:hint="eastAsia" w:ascii="仿宋" w:hAnsi="仿宋" w:eastAsia="仿宋" w:cs="Arial"/>
                <w:color w:val="auto"/>
                <w:szCs w:val="21"/>
              </w:rPr>
              <w:t>值金额不足10万元的，按10万元计算。</w:t>
            </w:r>
          </w:p>
        </w:tc>
      </w:tr>
      <w:tr w14:paraId="3415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6" w:hRule="atLeast"/>
          <w:jc w:val="center"/>
        </w:trPr>
        <w:tc>
          <w:tcPr>
            <w:tcW w:w="562" w:type="dxa"/>
            <w:vMerge w:val="continue"/>
            <w:vAlign w:val="center"/>
          </w:tcPr>
          <w:p w14:paraId="4A14EC6C">
            <w:pPr>
              <w:widowControl/>
              <w:adjustRightInd w:val="0"/>
              <w:snapToGrid w:val="0"/>
              <w:jc w:val="both"/>
              <w:rPr>
                <w:rFonts w:ascii="仿宋" w:hAnsi="仿宋" w:eastAsia="仿宋" w:cs="Arial"/>
                <w:color w:val="auto"/>
                <w:szCs w:val="21"/>
              </w:rPr>
            </w:pPr>
          </w:p>
        </w:tc>
        <w:tc>
          <w:tcPr>
            <w:tcW w:w="591" w:type="dxa"/>
            <w:vMerge w:val="continue"/>
            <w:vAlign w:val="center"/>
          </w:tcPr>
          <w:p w14:paraId="70969CDD">
            <w:pPr>
              <w:widowControl/>
              <w:adjustRightInd w:val="0"/>
              <w:snapToGrid w:val="0"/>
              <w:jc w:val="both"/>
              <w:rPr>
                <w:rFonts w:ascii="仿宋" w:hAnsi="仿宋" w:eastAsia="仿宋" w:cs="Arial"/>
                <w:color w:val="auto"/>
                <w:szCs w:val="21"/>
              </w:rPr>
            </w:pPr>
          </w:p>
        </w:tc>
        <w:tc>
          <w:tcPr>
            <w:tcW w:w="592" w:type="dxa"/>
            <w:vAlign w:val="center"/>
          </w:tcPr>
          <w:p w14:paraId="1FFE9BB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w:t>
            </w:r>
          </w:p>
          <w:p w14:paraId="378777A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节</w:t>
            </w:r>
          </w:p>
          <w:p w14:paraId="4F667B4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w:t>
            </w:r>
          </w:p>
          <w:p w14:paraId="6F431CB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重</w:t>
            </w:r>
          </w:p>
        </w:tc>
        <w:tc>
          <w:tcPr>
            <w:tcW w:w="3413" w:type="dxa"/>
            <w:vAlign w:val="center"/>
          </w:tcPr>
          <w:p w14:paraId="498B409B">
            <w:pPr>
              <w:widowControl/>
              <w:adjustRightInd w:val="0"/>
              <w:snapToGrid w:val="0"/>
              <w:jc w:val="both"/>
              <w:rPr>
                <w:rFonts w:ascii="仿宋" w:hAnsi="仿宋" w:eastAsia="仿宋" w:cs="Arial"/>
                <w:color w:val="auto"/>
                <w:szCs w:val="21"/>
              </w:rPr>
            </w:pPr>
          </w:p>
        </w:tc>
        <w:tc>
          <w:tcPr>
            <w:tcW w:w="2813" w:type="dxa"/>
            <w:vAlign w:val="center"/>
          </w:tcPr>
          <w:p w14:paraId="5F984650">
            <w:pPr>
              <w:widowControl/>
              <w:adjustRightInd w:val="0"/>
              <w:snapToGrid w:val="0"/>
              <w:jc w:val="both"/>
              <w:rPr>
                <w:rFonts w:ascii="仿宋" w:hAnsi="仿宋" w:eastAsia="仿宋" w:cs="Arial"/>
                <w:color w:val="auto"/>
                <w:szCs w:val="21"/>
              </w:rPr>
            </w:pPr>
          </w:p>
        </w:tc>
        <w:tc>
          <w:tcPr>
            <w:tcW w:w="2872" w:type="dxa"/>
            <w:vAlign w:val="center"/>
          </w:tcPr>
          <w:p w14:paraId="5BBEA54F">
            <w:pPr>
              <w:widowControl/>
              <w:adjustRightInd w:val="0"/>
              <w:snapToGrid w:val="0"/>
              <w:jc w:val="both"/>
              <w:rPr>
                <w:rFonts w:ascii="仿宋" w:hAnsi="仿宋" w:eastAsia="仿宋" w:cs="Arial"/>
                <w:color w:val="auto"/>
                <w:szCs w:val="21"/>
              </w:rPr>
            </w:pPr>
          </w:p>
        </w:tc>
        <w:tc>
          <w:tcPr>
            <w:tcW w:w="2946" w:type="dxa"/>
            <w:vAlign w:val="center"/>
          </w:tcPr>
          <w:p w14:paraId="7CAF637A">
            <w:pPr>
              <w:adjustRightInd w:val="0"/>
              <w:snapToGrid w:val="0"/>
              <w:jc w:val="both"/>
              <w:rPr>
                <w:rFonts w:hint="eastAsia" w:ascii="仿宋" w:hAnsi="仿宋" w:eastAsia="仿宋" w:cs="Arial"/>
                <w:color w:val="auto"/>
                <w:szCs w:val="21"/>
              </w:rPr>
            </w:pPr>
            <w:r>
              <w:rPr>
                <w:rFonts w:hint="eastAsia" w:ascii="仿宋" w:hAnsi="仿宋" w:eastAsia="仿宋" w:cs="Arial"/>
                <w:color w:val="auto"/>
                <w:szCs w:val="21"/>
              </w:rPr>
              <w:t>吊销药品生产许可证、药品经营许可证或者医疗机构制剂许可证，十年内不受理其相应申请；药品上市许可持有人为境外企业的，十年内禁止其药品进口。</w:t>
            </w:r>
          </w:p>
          <w:p w14:paraId="28897716">
            <w:pPr>
              <w:adjustRightInd w:val="0"/>
              <w:snapToGrid w:val="0"/>
              <w:jc w:val="both"/>
              <w:rPr>
                <w:rFonts w:hint="eastAsia" w:ascii="仿宋" w:hAnsi="仿宋" w:eastAsia="仿宋" w:cs="Arial"/>
                <w:color w:val="auto"/>
                <w:szCs w:val="21"/>
              </w:rPr>
            </w:pPr>
            <w:r>
              <w:rPr>
                <w:rFonts w:hint="eastAsia" w:ascii="仿宋" w:hAnsi="仿宋" w:eastAsia="仿宋" w:cs="Arial"/>
                <w:color w:val="auto"/>
                <w:szCs w:val="21"/>
              </w:rPr>
              <w:t>对生产者专门用于生产假药、劣药的原料、辅料、包装材料、生产设备予以没收。</w:t>
            </w:r>
          </w:p>
        </w:tc>
      </w:tr>
    </w:tbl>
    <w:p w14:paraId="4CDE8641">
      <w:pPr>
        <w:widowControl/>
        <w:tabs>
          <w:tab w:val="left" w:pos="562"/>
          <w:tab w:val="left" w:pos="1745"/>
          <w:tab w:val="left" w:pos="2172"/>
          <w:tab w:val="left" w:pos="5158"/>
          <w:tab w:val="left" w:pos="7971"/>
          <w:tab w:val="left" w:pos="10843"/>
        </w:tabs>
        <w:adjustRightInd w:val="0"/>
        <w:snapToGrid w:val="0"/>
        <w:jc w:val="both"/>
        <w:rPr>
          <w:rFonts w:ascii="仿宋" w:hAnsi="仿宋" w:eastAsia="仿宋" w:cs="Arial"/>
          <w:color w:val="auto"/>
          <w:szCs w:val="21"/>
        </w:rPr>
      </w:pPr>
    </w:p>
    <w:tbl>
      <w:tblPr>
        <w:tblStyle w:val="6"/>
        <w:tblW w:w="13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62"/>
        <w:gridCol w:w="623"/>
        <w:gridCol w:w="624"/>
        <w:gridCol w:w="2818"/>
        <w:gridCol w:w="2818"/>
        <w:gridCol w:w="2818"/>
        <w:gridCol w:w="3526"/>
      </w:tblGrid>
      <w:tr w14:paraId="0FA0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62" w:type="dxa"/>
            <w:vMerge w:val="restart"/>
            <w:vAlign w:val="center"/>
          </w:tcPr>
          <w:p w14:paraId="449B3CA5">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3</w:t>
            </w:r>
          </w:p>
        </w:tc>
        <w:tc>
          <w:tcPr>
            <w:tcW w:w="1247" w:type="dxa"/>
            <w:gridSpan w:val="2"/>
            <w:vAlign w:val="center"/>
          </w:tcPr>
          <w:p w14:paraId="1F17C45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980" w:type="dxa"/>
            <w:gridSpan w:val="4"/>
            <w:vAlign w:val="center"/>
          </w:tcPr>
          <w:p w14:paraId="795CD85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生产、销售劣药的</w:t>
            </w:r>
          </w:p>
        </w:tc>
      </w:tr>
      <w:tr w14:paraId="2700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62" w:type="dxa"/>
            <w:vMerge w:val="continue"/>
            <w:vAlign w:val="center"/>
          </w:tcPr>
          <w:p w14:paraId="3CAF77FA">
            <w:pPr>
              <w:widowControl/>
              <w:adjustRightInd w:val="0"/>
              <w:snapToGrid w:val="0"/>
              <w:jc w:val="both"/>
              <w:rPr>
                <w:rFonts w:ascii="仿宋" w:hAnsi="仿宋" w:eastAsia="仿宋" w:cs="Arial"/>
                <w:color w:val="auto"/>
                <w:szCs w:val="21"/>
              </w:rPr>
            </w:pPr>
          </w:p>
        </w:tc>
        <w:tc>
          <w:tcPr>
            <w:tcW w:w="1247" w:type="dxa"/>
            <w:gridSpan w:val="2"/>
            <w:vAlign w:val="center"/>
          </w:tcPr>
          <w:p w14:paraId="67BD51A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980" w:type="dxa"/>
            <w:gridSpan w:val="4"/>
            <w:vAlign w:val="center"/>
          </w:tcPr>
          <w:p w14:paraId="6591CE58">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第一百一十七条第一款：</w:t>
            </w:r>
            <w:r>
              <w:rPr>
                <w:rFonts w:hint="eastAsia" w:ascii="仿宋" w:hAnsi="仿宋" w:eastAsia="仿宋" w:cs="Arial"/>
                <w:color w:val="auto"/>
                <w:szCs w:val="21"/>
              </w:rPr>
              <w:t>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p>
          <w:p w14:paraId="2358241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第一百一十八条第二款：</w:t>
            </w:r>
            <w:r>
              <w:rPr>
                <w:rFonts w:hint="eastAsia" w:ascii="仿宋" w:hAnsi="仿宋" w:eastAsia="仿宋" w:cs="Arial"/>
                <w:color w:val="auto"/>
                <w:szCs w:val="21"/>
              </w:rPr>
              <w:t>对生产者专门用于生产假药、劣药的原料、辅料、包装材料、生产设备予以没收。</w:t>
            </w:r>
          </w:p>
        </w:tc>
      </w:tr>
      <w:tr w14:paraId="431A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62" w:type="dxa"/>
            <w:vMerge w:val="continue"/>
            <w:vAlign w:val="center"/>
          </w:tcPr>
          <w:p w14:paraId="28854C59">
            <w:pPr>
              <w:widowControl/>
              <w:adjustRightInd w:val="0"/>
              <w:snapToGrid w:val="0"/>
              <w:jc w:val="both"/>
              <w:rPr>
                <w:rFonts w:ascii="仿宋" w:hAnsi="仿宋" w:eastAsia="仿宋" w:cs="Arial"/>
                <w:color w:val="auto"/>
                <w:szCs w:val="21"/>
              </w:rPr>
            </w:pPr>
          </w:p>
        </w:tc>
        <w:tc>
          <w:tcPr>
            <w:tcW w:w="1247" w:type="dxa"/>
            <w:gridSpan w:val="2"/>
            <w:vAlign w:val="center"/>
          </w:tcPr>
          <w:p w14:paraId="3017040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818" w:type="dxa"/>
            <w:vAlign w:val="center"/>
          </w:tcPr>
          <w:p w14:paraId="2F03F66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818" w:type="dxa"/>
            <w:vAlign w:val="center"/>
          </w:tcPr>
          <w:p w14:paraId="515DD4E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818" w:type="dxa"/>
            <w:vAlign w:val="center"/>
          </w:tcPr>
          <w:p w14:paraId="1629B71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526" w:type="dxa"/>
            <w:vAlign w:val="center"/>
          </w:tcPr>
          <w:p w14:paraId="671FE8B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6403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62" w:type="dxa"/>
            <w:vMerge w:val="continue"/>
            <w:vAlign w:val="center"/>
          </w:tcPr>
          <w:p w14:paraId="38F6E706">
            <w:pPr>
              <w:widowControl/>
              <w:adjustRightInd w:val="0"/>
              <w:snapToGrid w:val="0"/>
              <w:jc w:val="both"/>
              <w:rPr>
                <w:rFonts w:ascii="仿宋" w:hAnsi="仿宋" w:eastAsia="仿宋" w:cs="Arial"/>
                <w:color w:val="auto"/>
                <w:szCs w:val="21"/>
              </w:rPr>
            </w:pPr>
          </w:p>
        </w:tc>
        <w:tc>
          <w:tcPr>
            <w:tcW w:w="1247" w:type="dxa"/>
            <w:gridSpan w:val="2"/>
            <w:vAlign w:val="center"/>
          </w:tcPr>
          <w:p w14:paraId="11BEE72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2818" w:type="dxa"/>
            <w:vAlign w:val="center"/>
          </w:tcPr>
          <w:p w14:paraId="7081A9C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818" w:type="dxa"/>
            <w:vAlign w:val="center"/>
          </w:tcPr>
          <w:p w14:paraId="31E3EBB8">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818" w:type="dxa"/>
            <w:vAlign w:val="center"/>
          </w:tcPr>
          <w:p w14:paraId="7815E4E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526" w:type="dxa"/>
            <w:vAlign w:val="center"/>
          </w:tcPr>
          <w:p w14:paraId="6DF02444">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（一）生产使用的原料、辅料或者直接接触药品的包装材料来源不合法或者不明的；</w:t>
            </w:r>
          </w:p>
          <w:p w14:paraId="452511CF">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（二）购进、销售药品渠道不合法的；</w:t>
            </w:r>
          </w:p>
          <w:p w14:paraId="694C294F">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（三）其他符合裁量规则从重行政处罚情形的。</w:t>
            </w:r>
          </w:p>
        </w:tc>
      </w:tr>
      <w:tr w14:paraId="2B7E1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40" w:hRule="atLeast"/>
          <w:jc w:val="center"/>
        </w:trPr>
        <w:tc>
          <w:tcPr>
            <w:tcW w:w="562" w:type="dxa"/>
            <w:vMerge w:val="continue"/>
            <w:vAlign w:val="center"/>
          </w:tcPr>
          <w:p w14:paraId="08E2838C">
            <w:pPr>
              <w:widowControl/>
              <w:adjustRightInd w:val="0"/>
              <w:snapToGrid w:val="0"/>
              <w:jc w:val="both"/>
              <w:rPr>
                <w:rFonts w:ascii="仿宋" w:hAnsi="仿宋" w:eastAsia="仿宋" w:cs="Arial"/>
                <w:color w:val="auto"/>
                <w:szCs w:val="21"/>
              </w:rPr>
            </w:pPr>
          </w:p>
        </w:tc>
        <w:tc>
          <w:tcPr>
            <w:tcW w:w="623" w:type="dxa"/>
            <w:vMerge w:val="restart"/>
            <w:vAlign w:val="center"/>
          </w:tcPr>
          <w:p w14:paraId="0D726B0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w:t>
            </w:r>
          </w:p>
          <w:p w14:paraId="6BC9441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基准</w:t>
            </w:r>
          </w:p>
        </w:tc>
        <w:tc>
          <w:tcPr>
            <w:tcW w:w="624" w:type="dxa"/>
            <w:vAlign w:val="center"/>
          </w:tcPr>
          <w:p w14:paraId="6AB86EC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p w14:paraId="61B6585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情形</w:t>
            </w:r>
          </w:p>
        </w:tc>
        <w:tc>
          <w:tcPr>
            <w:tcW w:w="2818" w:type="dxa"/>
            <w:vAlign w:val="center"/>
          </w:tcPr>
          <w:p w14:paraId="5039DD87">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14:paraId="0A38DC9F">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2.并处违法生产、销售的药品货值金额1倍以上10倍以下罚款；</w:t>
            </w:r>
          </w:p>
          <w:p w14:paraId="6D69BFAE">
            <w:pPr>
              <w:jc w:val="both"/>
            </w:pPr>
          </w:p>
          <w:p w14:paraId="7B65F866">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p>
        </w:tc>
        <w:tc>
          <w:tcPr>
            <w:tcW w:w="2818" w:type="dxa"/>
            <w:vAlign w:val="center"/>
          </w:tcPr>
          <w:p w14:paraId="5090E024">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14:paraId="16CDBA7B">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2.并处违法生产、销售的药品货值金额10倍以上13倍以下罚款；</w:t>
            </w:r>
          </w:p>
          <w:p w14:paraId="737DF21A">
            <w:pPr>
              <w:jc w:val="both"/>
            </w:pPr>
          </w:p>
          <w:p w14:paraId="7D33A497">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p>
        </w:tc>
        <w:tc>
          <w:tcPr>
            <w:tcW w:w="2818" w:type="dxa"/>
            <w:vAlign w:val="center"/>
          </w:tcPr>
          <w:p w14:paraId="66A25580">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14:paraId="64769B9A">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2.并处违法生产、销售的药品货值金额13倍以上17倍以下罚款；</w:t>
            </w:r>
          </w:p>
          <w:p w14:paraId="4CCE368C">
            <w:pPr>
              <w:jc w:val="both"/>
            </w:pPr>
          </w:p>
          <w:p w14:paraId="74DDD2A5">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p>
        </w:tc>
        <w:tc>
          <w:tcPr>
            <w:tcW w:w="3526" w:type="dxa"/>
            <w:vAlign w:val="center"/>
          </w:tcPr>
          <w:p w14:paraId="1BE3B45B">
            <w:pPr>
              <w:keepNext w:val="0"/>
              <w:keepLines w:val="0"/>
              <w:pageBreakBefore w:val="0"/>
              <w:widowControl/>
              <w:kinsoku/>
              <w:wordWrap/>
              <w:overflowPunct/>
              <w:topLinePunct w:val="0"/>
              <w:autoSpaceDE/>
              <w:autoSpaceDN/>
              <w:bidi w:val="0"/>
              <w:adjustRightInd w:val="0"/>
              <w:snapToGrid w:val="0"/>
              <w:spacing w:line="240" w:lineRule="exact"/>
              <w:jc w:val="both"/>
              <w:textAlignment w:val="auto"/>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14:paraId="5311BCD5">
            <w:pPr>
              <w:keepNext w:val="0"/>
              <w:keepLines w:val="0"/>
              <w:pageBreakBefore w:val="0"/>
              <w:widowControl/>
              <w:kinsoku/>
              <w:wordWrap/>
              <w:overflowPunct/>
              <w:topLinePunct w:val="0"/>
              <w:autoSpaceDE/>
              <w:autoSpaceDN/>
              <w:bidi w:val="0"/>
              <w:adjustRightInd w:val="0"/>
              <w:snapToGrid w:val="0"/>
              <w:spacing w:line="240" w:lineRule="exact"/>
              <w:jc w:val="both"/>
              <w:textAlignment w:val="auto"/>
              <w:rPr>
                <w:rFonts w:ascii="仿宋" w:hAnsi="仿宋" w:eastAsia="仿宋" w:cs="Arial"/>
                <w:color w:val="auto"/>
                <w:szCs w:val="21"/>
              </w:rPr>
            </w:pPr>
            <w:r>
              <w:rPr>
                <w:rFonts w:hint="eastAsia" w:ascii="仿宋" w:hAnsi="仿宋" w:eastAsia="仿宋" w:cs="Arial"/>
                <w:color w:val="auto"/>
                <w:szCs w:val="21"/>
              </w:rPr>
              <w:t>2.并处违法生产、销售的药品货值金额17倍以上20倍以下罚款；</w:t>
            </w:r>
          </w:p>
          <w:p w14:paraId="45C54E9D">
            <w:pPr>
              <w:jc w:val="both"/>
            </w:pPr>
          </w:p>
          <w:p w14:paraId="281BFE62">
            <w:pPr>
              <w:keepNext w:val="0"/>
              <w:keepLines w:val="0"/>
              <w:pageBreakBefore w:val="0"/>
              <w:widowControl/>
              <w:kinsoku/>
              <w:wordWrap/>
              <w:overflowPunct/>
              <w:topLinePunct w:val="0"/>
              <w:autoSpaceDE/>
              <w:autoSpaceDN/>
              <w:bidi w:val="0"/>
              <w:adjustRightInd w:val="0"/>
              <w:snapToGrid w:val="0"/>
              <w:spacing w:line="240" w:lineRule="exact"/>
              <w:jc w:val="both"/>
              <w:textAlignment w:val="auto"/>
              <w:rPr>
                <w:rFonts w:ascii="仿宋" w:hAnsi="仿宋" w:eastAsia="仿宋" w:cs="Arial"/>
                <w:color w:val="auto"/>
                <w:szCs w:val="21"/>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p>
        </w:tc>
      </w:tr>
      <w:tr w14:paraId="1D13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5" w:hRule="atLeast"/>
          <w:jc w:val="center"/>
        </w:trPr>
        <w:tc>
          <w:tcPr>
            <w:tcW w:w="562" w:type="dxa"/>
            <w:vMerge w:val="continue"/>
            <w:vAlign w:val="center"/>
          </w:tcPr>
          <w:p w14:paraId="6EAE8A05">
            <w:pPr>
              <w:widowControl/>
              <w:adjustRightInd w:val="0"/>
              <w:snapToGrid w:val="0"/>
              <w:jc w:val="both"/>
              <w:rPr>
                <w:rFonts w:ascii="仿宋" w:hAnsi="仿宋" w:eastAsia="仿宋" w:cs="宋体"/>
                <w:color w:val="auto"/>
                <w:szCs w:val="21"/>
              </w:rPr>
            </w:pPr>
          </w:p>
        </w:tc>
        <w:tc>
          <w:tcPr>
            <w:tcW w:w="623" w:type="dxa"/>
            <w:vMerge w:val="continue"/>
            <w:vAlign w:val="center"/>
          </w:tcPr>
          <w:p w14:paraId="27E0C7AD">
            <w:pPr>
              <w:widowControl/>
              <w:adjustRightInd w:val="0"/>
              <w:snapToGrid w:val="0"/>
              <w:jc w:val="both"/>
              <w:rPr>
                <w:rFonts w:ascii="仿宋" w:hAnsi="仿宋" w:eastAsia="仿宋" w:cs="宋体"/>
                <w:color w:val="auto"/>
                <w:szCs w:val="21"/>
              </w:rPr>
            </w:pPr>
          </w:p>
        </w:tc>
        <w:tc>
          <w:tcPr>
            <w:tcW w:w="624" w:type="dxa"/>
            <w:vAlign w:val="center"/>
          </w:tcPr>
          <w:p w14:paraId="0AD039F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w:t>
            </w:r>
          </w:p>
          <w:p w14:paraId="64C1BB6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严重</w:t>
            </w:r>
          </w:p>
        </w:tc>
        <w:tc>
          <w:tcPr>
            <w:tcW w:w="2818" w:type="dxa"/>
            <w:vAlign w:val="center"/>
          </w:tcPr>
          <w:p w14:paraId="4FBE6F30">
            <w:pPr>
              <w:widowControl/>
              <w:adjustRightInd w:val="0"/>
              <w:snapToGrid w:val="0"/>
              <w:jc w:val="both"/>
              <w:rPr>
                <w:rFonts w:ascii="仿宋" w:hAnsi="仿宋" w:eastAsia="仿宋" w:cs="宋体"/>
                <w:color w:val="auto"/>
                <w:szCs w:val="21"/>
              </w:rPr>
            </w:pPr>
          </w:p>
        </w:tc>
        <w:tc>
          <w:tcPr>
            <w:tcW w:w="2818" w:type="dxa"/>
            <w:vAlign w:val="center"/>
          </w:tcPr>
          <w:p w14:paraId="7205A1B5">
            <w:pPr>
              <w:widowControl/>
              <w:adjustRightInd w:val="0"/>
              <w:snapToGrid w:val="0"/>
              <w:jc w:val="both"/>
              <w:rPr>
                <w:rFonts w:ascii="仿宋" w:hAnsi="仿宋" w:eastAsia="仿宋" w:cs="宋体"/>
                <w:color w:val="auto"/>
                <w:szCs w:val="21"/>
              </w:rPr>
            </w:pPr>
          </w:p>
        </w:tc>
        <w:tc>
          <w:tcPr>
            <w:tcW w:w="2818" w:type="dxa"/>
            <w:vAlign w:val="center"/>
          </w:tcPr>
          <w:p w14:paraId="21EAB746">
            <w:pPr>
              <w:keepNext w:val="0"/>
              <w:keepLines w:val="0"/>
              <w:pageBreakBefore w:val="0"/>
              <w:widowControl/>
              <w:kinsoku/>
              <w:wordWrap/>
              <w:overflowPunct/>
              <w:topLinePunct w:val="0"/>
              <w:autoSpaceDE/>
              <w:autoSpaceDN/>
              <w:bidi w:val="0"/>
              <w:adjustRightInd w:val="0"/>
              <w:snapToGrid w:val="0"/>
              <w:spacing w:line="200" w:lineRule="exact"/>
              <w:jc w:val="both"/>
              <w:textAlignment w:val="auto"/>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14:paraId="61E03CAD">
            <w:pPr>
              <w:widowControl/>
              <w:adjustRightInd w:val="0"/>
              <w:snapToGrid w:val="0"/>
              <w:spacing w:line="200" w:lineRule="exact"/>
              <w:jc w:val="both"/>
              <w:rPr>
                <w:color w:val="auto"/>
              </w:rPr>
            </w:pPr>
            <w:r>
              <w:rPr>
                <w:rFonts w:hint="eastAsia" w:ascii="仿宋" w:hAnsi="仿宋" w:eastAsia="仿宋" w:cs="Arial"/>
                <w:color w:val="auto"/>
                <w:szCs w:val="21"/>
              </w:rPr>
              <w:t>2.并处违法生产、销售的药品货值金额17倍以上20倍以下罚款；</w:t>
            </w:r>
          </w:p>
          <w:p w14:paraId="589CE2CB">
            <w:pPr>
              <w:widowControl/>
              <w:adjustRightInd w:val="0"/>
              <w:snapToGrid w:val="0"/>
              <w:spacing w:line="20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r>
              <w:rPr>
                <w:rFonts w:hint="eastAsia" w:ascii="仿宋" w:hAnsi="仿宋" w:eastAsia="仿宋" w:cs="Arial"/>
                <w:color w:val="auto"/>
                <w:szCs w:val="21"/>
                <w:lang w:eastAsia="zh-CN"/>
              </w:rPr>
              <w:t>；</w:t>
            </w:r>
          </w:p>
          <w:p w14:paraId="57664370">
            <w:pPr>
              <w:widowControl/>
              <w:adjustRightInd w:val="0"/>
              <w:snapToGrid w:val="0"/>
              <w:spacing w:line="200" w:lineRule="exact"/>
              <w:jc w:val="both"/>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责令停产停业整顿</w:t>
            </w:r>
            <w:r>
              <w:rPr>
                <w:rFonts w:hint="eastAsia" w:ascii="仿宋" w:hAnsi="仿宋" w:eastAsia="仿宋" w:cs="Arial"/>
                <w:color w:val="auto"/>
                <w:szCs w:val="21"/>
                <w:lang w:eastAsia="zh-CN"/>
              </w:rPr>
              <w:t>；</w:t>
            </w:r>
          </w:p>
          <w:p w14:paraId="4452F2FD">
            <w:pPr>
              <w:widowControl/>
              <w:adjustRightInd w:val="0"/>
              <w:snapToGrid w:val="0"/>
              <w:spacing w:line="200" w:lineRule="exact"/>
              <w:jc w:val="both"/>
              <w:rPr>
                <w:rFonts w:hint="eastAsia" w:ascii="仿宋" w:hAnsi="仿宋" w:eastAsia="仿宋" w:cs="Arial"/>
                <w:color w:val="auto"/>
                <w:szCs w:val="21"/>
              </w:rPr>
            </w:pPr>
            <w:r>
              <w:rPr>
                <w:rFonts w:hint="eastAsia" w:ascii="仿宋" w:hAnsi="仿宋" w:eastAsia="仿宋" w:cs="Arial"/>
                <w:color w:val="auto"/>
                <w:szCs w:val="21"/>
                <w:lang w:val="en-US" w:eastAsia="zh-CN"/>
              </w:rPr>
              <w:t>5.</w:t>
            </w:r>
            <w:r>
              <w:rPr>
                <w:rFonts w:hint="eastAsia" w:ascii="仿宋" w:hAnsi="仿宋" w:eastAsia="仿宋" w:cs="Arial"/>
                <w:color w:val="auto"/>
                <w:szCs w:val="21"/>
              </w:rPr>
              <w:t>对生产者专门用于生产劣药的原料、辅料、包装材料、生产设备予以没收</w:t>
            </w:r>
            <w:r>
              <w:rPr>
                <w:rFonts w:hint="eastAsia" w:ascii="仿宋" w:hAnsi="仿宋" w:eastAsia="仿宋" w:cs="Arial"/>
                <w:color w:val="auto"/>
                <w:szCs w:val="21"/>
                <w:lang w:eastAsia="zh-CN"/>
              </w:rPr>
              <w:t>。</w:t>
            </w:r>
          </w:p>
        </w:tc>
        <w:tc>
          <w:tcPr>
            <w:tcW w:w="3526" w:type="dxa"/>
            <w:vAlign w:val="center"/>
          </w:tcPr>
          <w:p w14:paraId="74795552">
            <w:pPr>
              <w:keepNext w:val="0"/>
              <w:keepLines w:val="0"/>
              <w:pageBreakBefore w:val="0"/>
              <w:widowControl/>
              <w:kinsoku/>
              <w:wordWrap/>
              <w:overflowPunct/>
              <w:topLinePunct w:val="0"/>
              <w:autoSpaceDE/>
              <w:autoSpaceDN/>
              <w:bidi w:val="0"/>
              <w:adjustRightInd w:val="0"/>
              <w:snapToGrid w:val="0"/>
              <w:spacing w:line="200" w:lineRule="exact"/>
              <w:jc w:val="both"/>
              <w:textAlignment w:val="auto"/>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14:paraId="3F0F1979">
            <w:pPr>
              <w:widowControl/>
              <w:adjustRightInd w:val="0"/>
              <w:snapToGrid w:val="0"/>
              <w:spacing w:line="200" w:lineRule="exact"/>
              <w:jc w:val="both"/>
              <w:rPr>
                <w:color w:val="auto"/>
              </w:rPr>
            </w:pPr>
            <w:r>
              <w:rPr>
                <w:rFonts w:hint="eastAsia" w:ascii="仿宋" w:hAnsi="仿宋" w:eastAsia="仿宋" w:cs="Arial"/>
                <w:color w:val="auto"/>
                <w:szCs w:val="21"/>
              </w:rPr>
              <w:t>2.并处违法生产、销售的药品货值金额17倍以上20倍以下罚款；</w:t>
            </w:r>
          </w:p>
          <w:p w14:paraId="0713EAF9">
            <w:pPr>
              <w:widowControl/>
              <w:adjustRightInd w:val="0"/>
              <w:snapToGrid w:val="0"/>
              <w:spacing w:line="20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r>
              <w:rPr>
                <w:rFonts w:hint="eastAsia" w:ascii="仿宋" w:hAnsi="仿宋" w:eastAsia="仿宋" w:cs="Arial"/>
                <w:color w:val="auto"/>
                <w:szCs w:val="21"/>
                <w:lang w:eastAsia="zh-CN"/>
              </w:rPr>
              <w:t>；</w:t>
            </w:r>
          </w:p>
          <w:p w14:paraId="00458CD5">
            <w:pPr>
              <w:widowControl/>
              <w:adjustRightInd w:val="0"/>
              <w:snapToGrid w:val="0"/>
              <w:spacing w:line="200" w:lineRule="exact"/>
              <w:jc w:val="both"/>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吊销药品批准证明文件、药品生产许可证、药品经营许可证或者医疗机构制剂许可证</w:t>
            </w:r>
            <w:r>
              <w:rPr>
                <w:rFonts w:hint="eastAsia" w:ascii="仿宋" w:hAnsi="仿宋" w:eastAsia="仿宋" w:cs="Arial"/>
                <w:color w:val="auto"/>
                <w:szCs w:val="21"/>
                <w:lang w:eastAsia="zh-CN"/>
              </w:rPr>
              <w:t>；</w:t>
            </w:r>
          </w:p>
          <w:p w14:paraId="7BD06591">
            <w:pPr>
              <w:widowControl/>
              <w:adjustRightInd w:val="0"/>
              <w:snapToGrid w:val="0"/>
              <w:spacing w:line="200" w:lineRule="exact"/>
              <w:jc w:val="both"/>
              <w:rPr>
                <w:rFonts w:hint="eastAsia" w:ascii="仿宋" w:hAnsi="仿宋" w:eastAsia="仿宋" w:cs="Arial"/>
                <w:color w:val="auto"/>
                <w:szCs w:val="21"/>
              </w:rPr>
            </w:pPr>
            <w:r>
              <w:rPr>
                <w:rFonts w:hint="eastAsia" w:ascii="仿宋" w:hAnsi="仿宋" w:eastAsia="仿宋" w:cs="Arial"/>
                <w:color w:val="auto"/>
                <w:szCs w:val="21"/>
                <w:lang w:val="en-US" w:eastAsia="zh-CN"/>
              </w:rPr>
              <w:t>5.</w:t>
            </w:r>
            <w:r>
              <w:rPr>
                <w:rFonts w:hint="eastAsia" w:ascii="仿宋" w:hAnsi="仿宋" w:eastAsia="仿宋" w:cs="Arial"/>
                <w:color w:val="auto"/>
                <w:szCs w:val="21"/>
              </w:rPr>
              <w:t>对生产者专门用于生产劣药的原料、辅料、包装材料、生产设备予以没收</w:t>
            </w:r>
            <w:r>
              <w:rPr>
                <w:rFonts w:hint="eastAsia" w:ascii="仿宋" w:hAnsi="仿宋" w:eastAsia="仿宋" w:cs="Arial"/>
                <w:color w:val="auto"/>
                <w:szCs w:val="21"/>
                <w:lang w:eastAsia="zh-CN"/>
              </w:rPr>
              <w:t>。</w:t>
            </w:r>
          </w:p>
        </w:tc>
      </w:tr>
    </w:tbl>
    <w:p w14:paraId="3D339CB8">
      <w:pPr>
        <w:widowControl/>
        <w:tabs>
          <w:tab w:val="left" w:pos="562"/>
          <w:tab w:val="left" w:pos="1430"/>
          <w:tab w:val="left" w:pos="2172"/>
          <w:tab w:val="left" w:pos="4315"/>
          <w:tab w:val="left" w:pos="7090"/>
          <w:tab w:val="left" w:pos="9801"/>
        </w:tabs>
        <w:adjustRightInd w:val="0"/>
        <w:spacing w:line="160" w:lineRule="exact"/>
        <w:jc w:val="both"/>
        <w:rPr>
          <w:rFonts w:ascii="仿宋" w:hAnsi="仿宋" w:eastAsia="仿宋" w:cs="Arial"/>
          <w:color w:val="auto"/>
          <w:szCs w:val="21"/>
        </w:rPr>
      </w:pPr>
    </w:p>
    <w:tbl>
      <w:tblPr>
        <w:tblStyle w:val="6"/>
        <w:tblW w:w="13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610"/>
        <w:gridCol w:w="2292"/>
        <w:gridCol w:w="2270"/>
        <w:gridCol w:w="3311"/>
        <w:gridCol w:w="3744"/>
      </w:tblGrid>
      <w:tr w14:paraId="3604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562" w:type="dxa"/>
            <w:vMerge w:val="restart"/>
            <w:vAlign w:val="center"/>
          </w:tcPr>
          <w:p w14:paraId="72FBFCED">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4</w:t>
            </w:r>
          </w:p>
        </w:tc>
        <w:tc>
          <w:tcPr>
            <w:tcW w:w="1610" w:type="dxa"/>
            <w:vAlign w:val="center"/>
          </w:tcPr>
          <w:p w14:paraId="030677F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617" w:type="dxa"/>
            <w:gridSpan w:val="4"/>
            <w:vAlign w:val="center"/>
          </w:tcPr>
          <w:p w14:paraId="00AAC23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生产、销售的中药饮片不符合药品标准，尚不影响安全性、有效性的</w:t>
            </w:r>
          </w:p>
        </w:tc>
      </w:tr>
      <w:tr w14:paraId="5253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562" w:type="dxa"/>
            <w:vMerge w:val="continue"/>
            <w:vAlign w:val="center"/>
          </w:tcPr>
          <w:p w14:paraId="7CF7BF5B">
            <w:pPr>
              <w:widowControl/>
              <w:adjustRightInd w:val="0"/>
              <w:snapToGrid w:val="0"/>
              <w:jc w:val="both"/>
              <w:rPr>
                <w:rFonts w:ascii="仿宋" w:hAnsi="仿宋" w:eastAsia="仿宋" w:cs="Arial"/>
                <w:color w:val="auto"/>
                <w:szCs w:val="21"/>
              </w:rPr>
            </w:pPr>
          </w:p>
        </w:tc>
        <w:tc>
          <w:tcPr>
            <w:tcW w:w="1610" w:type="dxa"/>
            <w:vAlign w:val="center"/>
          </w:tcPr>
          <w:p w14:paraId="2D148C4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617" w:type="dxa"/>
            <w:gridSpan w:val="4"/>
            <w:vAlign w:val="center"/>
          </w:tcPr>
          <w:p w14:paraId="43E8713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eastAsia="zh-CN"/>
              </w:rPr>
              <w:t>《中华人民共和国药品管理法》</w:t>
            </w:r>
            <w:r>
              <w:rPr>
                <w:rFonts w:hint="eastAsia" w:ascii="仿宋" w:hAnsi="仿宋" w:eastAsia="仿宋" w:cs="Arial"/>
                <w:color w:val="auto"/>
                <w:szCs w:val="21"/>
              </w:rPr>
              <w:t>第一百一十七条第二款：生产、销售的中药饮片不符合药品标准，尚不影响安全性、有效性的，责令限期改正，给予警告；可以处十万元以上五十万元以下的罚款。</w:t>
            </w:r>
          </w:p>
        </w:tc>
      </w:tr>
      <w:tr w14:paraId="1FA1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562" w:type="dxa"/>
            <w:vMerge w:val="continue"/>
            <w:vAlign w:val="center"/>
          </w:tcPr>
          <w:p w14:paraId="6546402A">
            <w:pPr>
              <w:widowControl/>
              <w:adjustRightInd w:val="0"/>
              <w:snapToGrid w:val="0"/>
              <w:jc w:val="both"/>
              <w:rPr>
                <w:rFonts w:ascii="仿宋" w:hAnsi="仿宋" w:eastAsia="仿宋" w:cs="Arial"/>
                <w:color w:val="auto"/>
                <w:szCs w:val="21"/>
              </w:rPr>
            </w:pPr>
          </w:p>
        </w:tc>
        <w:tc>
          <w:tcPr>
            <w:tcW w:w="1610" w:type="dxa"/>
            <w:vAlign w:val="center"/>
          </w:tcPr>
          <w:p w14:paraId="5DB1A76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292" w:type="dxa"/>
            <w:vAlign w:val="center"/>
          </w:tcPr>
          <w:p w14:paraId="1318448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270" w:type="dxa"/>
            <w:vAlign w:val="center"/>
          </w:tcPr>
          <w:p w14:paraId="035CDFC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3311" w:type="dxa"/>
            <w:vAlign w:val="center"/>
          </w:tcPr>
          <w:p w14:paraId="4917E66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744" w:type="dxa"/>
            <w:vAlign w:val="center"/>
          </w:tcPr>
          <w:p w14:paraId="738DAC4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5B9A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562" w:type="dxa"/>
            <w:vMerge w:val="continue"/>
            <w:vAlign w:val="center"/>
          </w:tcPr>
          <w:p w14:paraId="6035E4A3">
            <w:pPr>
              <w:widowControl/>
              <w:adjustRightInd w:val="0"/>
              <w:snapToGrid w:val="0"/>
              <w:jc w:val="both"/>
              <w:rPr>
                <w:rFonts w:ascii="仿宋" w:hAnsi="仿宋" w:eastAsia="仿宋" w:cs="Arial"/>
                <w:color w:val="auto"/>
                <w:szCs w:val="21"/>
              </w:rPr>
            </w:pPr>
          </w:p>
        </w:tc>
        <w:tc>
          <w:tcPr>
            <w:tcW w:w="1610" w:type="dxa"/>
            <w:vAlign w:val="center"/>
          </w:tcPr>
          <w:p w14:paraId="67C68D8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2292" w:type="dxa"/>
            <w:vAlign w:val="center"/>
          </w:tcPr>
          <w:p w14:paraId="2FB5A299">
            <w:pPr>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270" w:type="dxa"/>
            <w:vAlign w:val="center"/>
          </w:tcPr>
          <w:p w14:paraId="05CFA404">
            <w:pPr>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311" w:type="dxa"/>
            <w:vAlign w:val="center"/>
          </w:tcPr>
          <w:p w14:paraId="6683E69B">
            <w:pPr>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744" w:type="dxa"/>
            <w:vAlign w:val="center"/>
          </w:tcPr>
          <w:p w14:paraId="16978A68">
            <w:pPr>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3657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562" w:type="dxa"/>
            <w:vMerge w:val="continue"/>
            <w:vAlign w:val="center"/>
          </w:tcPr>
          <w:p w14:paraId="08FF280B">
            <w:pPr>
              <w:widowControl/>
              <w:adjustRightInd w:val="0"/>
              <w:snapToGrid w:val="0"/>
              <w:jc w:val="both"/>
              <w:rPr>
                <w:rFonts w:ascii="仿宋" w:hAnsi="仿宋" w:eastAsia="仿宋" w:cs="Arial"/>
                <w:color w:val="auto"/>
                <w:szCs w:val="21"/>
              </w:rPr>
            </w:pPr>
          </w:p>
        </w:tc>
        <w:tc>
          <w:tcPr>
            <w:tcW w:w="1610" w:type="dxa"/>
            <w:vAlign w:val="center"/>
          </w:tcPr>
          <w:p w14:paraId="103194B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2292" w:type="dxa"/>
            <w:vAlign w:val="center"/>
          </w:tcPr>
          <w:p w14:paraId="3A0662D2">
            <w:pPr>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责令限期改正，给予警告；可以处0元以上10万元以下的罚款。</w:t>
            </w:r>
          </w:p>
        </w:tc>
        <w:tc>
          <w:tcPr>
            <w:tcW w:w="2270" w:type="dxa"/>
            <w:vAlign w:val="center"/>
          </w:tcPr>
          <w:p w14:paraId="608065F3">
            <w:pPr>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责令限期改正，给予警告；可以处10万元以上22万元以下的罚款。</w:t>
            </w:r>
          </w:p>
        </w:tc>
        <w:tc>
          <w:tcPr>
            <w:tcW w:w="3311" w:type="dxa"/>
            <w:vAlign w:val="center"/>
          </w:tcPr>
          <w:p w14:paraId="3AB1AD76">
            <w:pPr>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责令限期改正，给予警告；可以处22万元以上38万元以下的罚款。</w:t>
            </w:r>
          </w:p>
        </w:tc>
        <w:tc>
          <w:tcPr>
            <w:tcW w:w="3744" w:type="dxa"/>
            <w:vAlign w:val="center"/>
          </w:tcPr>
          <w:p w14:paraId="76B42C19">
            <w:pPr>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责令限期改正，给予警告；可以处38万元以上50万元以下的罚款。</w:t>
            </w:r>
          </w:p>
        </w:tc>
      </w:tr>
    </w:tbl>
    <w:p w14:paraId="69EF7275">
      <w:pPr>
        <w:tabs>
          <w:tab w:val="left" w:pos="562"/>
          <w:tab w:val="left" w:pos="2172"/>
          <w:tab w:val="left" w:pos="4540"/>
          <w:tab w:val="left" w:pos="6832"/>
          <w:tab w:val="left" w:pos="9102"/>
          <w:tab w:val="left" w:pos="11363"/>
        </w:tabs>
        <w:adjustRightInd w:val="0"/>
        <w:snapToGrid w:val="0"/>
        <w:jc w:val="both"/>
        <w:rPr>
          <w:rFonts w:ascii="仿宋" w:hAnsi="仿宋" w:eastAsia="仿宋" w:cs="Arial"/>
          <w:color w:val="auto"/>
          <w:szCs w:val="21"/>
        </w:rPr>
      </w:pPr>
    </w:p>
    <w:tbl>
      <w:tblPr>
        <w:tblStyle w:val="6"/>
        <w:tblW w:w="13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610"/>
        <w:gridCol w:w="3962"/>
        <w:gridCol w:w="3795"/>
        <w:gridCol w:w="3860"/>
      </w:tblGrid>
      <w:tr w14:paraId="033B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562" w:type="dxa"/>
            <w:vMerge w:val="restart"/>
            <w:vAlign w:val="center"/>
          </w:tcPr>
          <w:p w14:paraId="2776B7ED">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5</w:t>
            </w:r>
          </w:p>
        </w:tc>
        <w:tc>
          <w:tcPr>
            <w:tcW w:w="1610" w:type="dxa"/>
            <w:vAlign w:val="center"/>
          </w:tcPr>
          <w:p w14:paraId="793EC10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617" w:type="dxa"/>
            <w:gridSpan w:val="3"/>
            <w:vAlign w:val="center"/>
          </w:tcPr>
          <w:p w14:paraId="2BFB8FF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生产销售假药或者生产销售劣药且情节严重的，对法定代表人、主要负责人、直接负责的主管人员和其他责任人员的处罚</w:t>
            </w:r>
          </w:p>
        </w:tc>
      </w:tr>
      <w:tr w14:paraId="5944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562" w:type="dxa"/>
            <w:vMerge w:val="continue"/>
            <w:vAlign w:val="center"/>
          </w:tcPr>
          <w:p w14:paraId="23515F45">
            <w:pPr>
              <w:widowControl/>
              <w:adjustRightInd w:val="0"/>
              <w:snapToGrid w:val="0"/>
              <w:jc w:val="both"/>
              <w:rPr>
                <w:rFonts w:ascii="仿宋" w:hAnsi="仿宋" w:eastAsia="仿宋" w:cs="Arial"/>
                <w:color w:val="auto"/>
                <w:szCs w:val="21"/>
              </w:rPr>
            </w:pPr>
          </w:p>
        </w:tc>
        <w:tc>
          <w:tcPr>
            <w:tcW w:w="1610" w:type="dxa"/>
            <w:vAlign w:val="center"/>
          </w:tcPr>
          <w:p w14:paraId="15AC696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617" w:type="dxa"/>
            <w:gridSpan w:val="3"/>
            <w:vAlign w:val="center"/>
          </w:tcPr>
          <w:p w14:paraId="53FA2C1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eastAsia="zh-CN"/>
              </w:rPr>
              <w:t>《中华人民共和国药品管理法》</w:t>
            </w:r>
            <w:r>
              <w:rPr>
                <w:rFonts w:hint="eastAsia" w:ascii="仿宋" w:hAnsi="仿宋" w:eastAsia="仿宋" w:cs="Arial"/>
                <w:color w:val="auto"/>
                <w:szCs w:val="21"/>
              </w:rPr>
              <w:t>第一百一十八条第一款：生产销售假药</w:t>
            </w:r>
            <w:r>
              <w:rPr>
                <w:rFonts w:hint="eastAsia" w:ascii="仿宋" w:hAnsi="仿宋" w:eastAsia="仿宋" w:cs="Arial"/>
                <w:color w:val="auto"/>
                <w:szCs w:val="21"/>
                <w:lang w:eastAsia="zh-CN"/>
              </w:rPr>
              <w:t>，或者</w:t>
            </w:r>
            <w:r>
              <w:rPr>
                <w:rFonts w:hint="eastAsia" w:ascii="仿宋" w:hAnsi="仿宋" w:eastAsia="仿宋" w:cs="Arial"/>
                <w:color w:val="auto"/>
                <w:szCs w:val="21"/>
              </w:rPr>
              <w:t>生产销售劣药且情节严重的，对法定代表人、主要负责人、直接负责的主管人员和其他责任人员，没收违法行为发生期间自本单位所获收入，并处所获收入百分之三十以上三倍以下的罚款，终身禁止从事药品生产经营活动，并可以由公安机关处五日以上十五日以下的拘留。</w:t>
            </w:r>
          </w:p>
        </w:tc>
      </w:tr>
      <w:tr w14:paraId="6FE6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562" w:type="dxa"/>
            <w:vMerge w:val="continue"/>
            <w:vAlign w:val="center"/>
          </w:tcPr>
          <w:p w14:paraId="623168D0">
            <w:pPr>
              <w:widowControl/>
              <w:adjustRightInd w:val="0"/>
              <w:snapToGrid w:val="0"/>
              <w:jc w:val="both"/>
              <w:rPr>
                <w:rFonts w:ascii="仿宋" w:hAnsi="仿宋" w:eastAsia="仿宋" w:cs="Arial"/>
                <w:color w:val="auto"/>
                <w:szCs w:val="21"/>
              </w:rPr>
            </w:pPr>
          </w:p>
        </w:tc>
        <w:tc>
          <w:tcPr>
            <w:tcW w:w="1610" w:type="dxa"/>
            <w:vAlign w:val="center"/>
          </w:tcPr>
          <w:p w14:paraId="44F2931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3962" w:type="dxa"/>
            <w:vAlign w:val="center"/>
          </w:tcPr>
          <w:p w14:paraId="5C3181A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3795" w:type="dxa"/>
            <w:vAlign w:val="center"/>
          </w:tcPr>
          <w:p w14:paraId="3C86A1C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860" w:type="dxa"/>
            <w:vAlign w:val="center"/>
          </w:tcPr>
          <w:p w14:paraId="349F7EC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36BA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62" w:type="dxa"/>
            <w:vMerge w:val="continue"/>
            <w:vAlign w:val="center"/>
          </w:tcPr>
          <w:p w14:paraId="1EB14978">
            <w:pPr>
              <w:widowControl/>
              <w:adjustRightInd w:val="0"/>
              <w:snapToGrid w:val="0"/>
              <w:jc w:val="both"/>
              <w:rPr>
                <w:rFonts w:ascii="仿宋" w:hAnsi="仿宋" w:eastAsia="仿宋" w:cs="Arial"/>
                <w:color w:val="auto"/>
                <w:szCs w:val="21"/>
              </w:rPr>
            </w:pPr>
          </w:p>
        </w:tc>
        <w:tc>
          <w:tcPr>
            <w:tcW w:w="1610" w:type="dxa"/>
            <w:vAlign w:val="center"/>
          </w:tcPr>
          <w:p w14:paraId="392DB5A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3962" w:type="dxa"/>
            <w:vAlign w:val="center"/>
          </w:tcPr>
          <w:p w14:paraId="4EBD71C2">
            <w:pPr>
              <w:adjustRightInd w:val="0"/>
              <w:snapToGrid w:val="0"/>
              <w:jc w:val="both"/>
              <w:rPr>
                <w:rFonts w:ascii="仿宋" w:hAnsi="仿宋" w:eastAsia="仿宋" w:cs="Arial"/>
                <w:color w:val="auto"/>
                <w:szCs w:val="21"/>
              </w:rPr>
            </w:pPr>
            <w:r>
              <w:rPr>
                <w:rFonts w:hint="eastAsia" w:ascii="仿宋" w:hAnsi="仿宋" w:eastAsia="仿宋" w:cs="Arial"/>
                <w:color w:val="auto"/>
                <w:szCs w:val="21"/>
              </w:rPr>
              <w:t>参照符合裁量规则中从轻行政处罚情形的规则进行判断。</w:t>
            </w:r>
          </w:p>
        </w:tc>
        <w:tc>
          <w:tcPr>
            <w:tcW w:w="3795" w:type="dxa"/>
            <w:vAlign w:val="center"/>
          </w:tcPr>
          <w:p w14:paraId="7A6581B1">
            <w:pPr>
              <w:adjustRightInd w:val="0"/>
              <w:snapToGrid w:val="0"/>
              <w:jc w:val="both"/>
              <w:rPr>
                <w:rFonts w:ascii="仿宋" w:hAnsi="仿宋" w:eastAsia="仿宋" w:cs="Arial"/>
                <w:color w:val="auto"/>
                <w:szCs w:val="21"/>
              </w:rPr>
            </w:pPr>
            <w:r>
              <w:rPr>
                <w:rFonts w:hint="eastAsia" w:ascii="仿宋" w:hAnsi="仿宋" w:eastAsia="仿宋" w:cs="Arial"/>
                <w:color w:val="auto"/>
                <w:szCs w:val="21"/>
              </w:rPr>
              <w:t>参照符合裁量规则中一般行政处罚情形的规则进行判断。</w:t>
            </w:r>
          </w:p>
        </w:tc>
        <w:tc>
          <w:tcPr>
            <w:tcW w:w="3860" w:type="dxa"/>
            <w:vAlign w:val="center"/>
          </w:tcPr>
          <w:p w14:paraId="534A8B1E">
            <w:pPr>
              <w:adjustRightInd w:val="0"/>
              <w:snapToGrid w:val="0"/>
              <w:jc w:val="both"/>
              <w:rPr>
                <w:rFonts w:ascii="仿宋" w:hAnsi="仿宋" w:eastAsia="仿宋" w:cs="Arial"/>
                <w:color w:val="auto"/>
                <w:szCs w:val="21"/>
              </w:rPr>
            </w:pPr>
            <w:r>
              <w:rPr>
                <w:rFonts w:hint="eastAsia" w:ascii="仿宋" w:hAnsi="仿宋" w:eastAsia="仿宋" w:cs="Arial"/>
                <w:color w:val="auto"/>
                <w:szCs w:val="21"/>
              </w:rPr>
              <w:t>参照符合裁量规则中从重行政处罚情形的规则进行判断。</w:t>
            </w:r>
          </w:p>
        </w:tc>
      </w:tr>
      <w:tr w14:paraId="134F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jc w:val="center"/>
        </w:trPr>
        <w:tc>
          <w:tcPr>
            <w:tcW w:w="562" w:type="dxa"/>
            <w:vMerge w:val="continue"/>
            <w:vAlign w:val="center"/>
          </w:tcPr>
          <w:p w14:paraId="1CBC6655">
            <w:pPr>
              <w:widowControl/>
              <w:adjustRightInd w:val="0"/>
              <w:snapToGrid w:val="0"/>
              <w:jc w:val="both"/>
              <w:rPr>
                <w:rFonts w:ascii="仿宋" w:hAnsi="仿宋" w:eastAsia="仿宋" w:cs="Arial"/>
                <w:color w:val="auto"/>
                <w:szCs w:val="21"/>
              </w:rPr>
            </w:pPr>
          </w:p>
        </w:tc>
        <w:tc>
          <w:tcPr>
            <w:tcW w:w="1610" w:type="dxa"/>
            <w:vAlign w:val="center"/>
          </w:tcPr>
          <w:p w14:paraId="2774811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3962" w:type="dxa"/>
            <w:vAlign w:val="center"/>
          </w:tcPr>
          <w:p w14:paraId="583BF80E">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1.没收违法行为发生期间自本单位所获收入；</w:t>
            </w:r>
          </w:p>
          <w:p w14:paraId="26B04C42">
            <w:pPr>
              <w:adjustRightInd w:val="0"/>
              <w:snapToGrid w:val="0"/>
              <w:jc w:val="both"/>
              <w:rPr>
                <w:rFonts w:ascii="仿宋" w:hAnsi="仿宋" w:eastAsia="仿宋" w:cs="Arial"/>
                <w:color w:val="auto"/>
                <w:szCs w:val="21"/>
              </w:rPr>
            </w:pPr>
            <w:r>
              <w:rPr>
                <w:rFonts w:hint="eastAsia" w:ascii="仿宋" w:hAnsi="仿宋" w:eastAsia="仿宋" w:cs="Arial"/>
                <w:color w:val="auto"/>
                <w:szCs w:val="21"/>
              </w:rPr>
              <w:t>2.并处所获收入30%以上1.11倍以下的罚款；</w:t>
            </w:r>
          </w:p>
          <w:p w14:paraId="3BB7B641">
            <w:pPr>
              <w:adjustRightInd w:val="0"/>
              <w:snapToGrid w:val="0"/>
              <w:jc w:val="both"/>
              <w:rPr>
                <w:rFonts w:ascii="仿宋" w:hAnsi="仿宋" w:eastAsia="仿宋" w:cs="Arial"/>
                <w:color w:val="auto"/>
                <w:szCs w:val="21"/>
              </w:rPr>
            </w:pPr>
            <w:r>
              <w:rPr>
                <w:rFonts w:hint="eastAsia" w:ascii="仿宋" w:hAnsi="仿宋" w:eastAsia="仿宋" w:cs="Arial"/>
                <w:color w:val="auto"/>
                <w:szCs w:val="21"/>
              </w:rPr>
              <w:t>3.终身禁止从事药品生产经营活动。</w:t>
            </w:r>
          </w:p>
        </w:tc>
        <w:tc>
          <w:tcPr>
            <w:tcW w:w="3795" w:type="dxa"/>
            <w:vAlign w:val="center"/>
          </w:tcPr>
          <w:p w14:paraId="56B6B1E5">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1.没收违法行为发生期间自本单位所获收入；</w:t>
            </w:r>
          </w:p>
          <w:p w14:paraId="2142B59C">
            <w:pPr>
              <w:adjustRightInd w:val="0"/>
              <w:snapToGrid w:val="0"/>
              <w:jc w:val="both"/>
              <w:rPr>
                <w:rFonts w:ascii="仿宋" w:hAnsi="仿宋" w:eastAsia="仿宋" w:cs="Arial"/>
                <w:color w:val="auto"/>
                <w:szCs w:val="21"/>
              </w:rPr>
            </w:pPr>
            <w:r>
              <w:rPr>
                <w:rFonts w:hint="eastAsia" w:ascii="仿宋" w:hAnsi="仿宋" w:eastAsia="仿宋" w:cs="Arial"/>
                <w:color w:val="auto"/>
                <w:szCs w:val="21"/>
              </w:rPr>
              <w:t>2.并处所获收入1.11以上2.19倍以下的罚款；</w:t>
            </w:r>
          </w:p>
          <w:p w14:paraId="2BC7ACF3">
            <w:pPr>
              <w:adjustRightInd w:val="0"/>
              <w:snapToGrid w:val="0"/>
              <w:jc w:val="both"/>
              <w:rPr>
                <w:rFonts w:ascii="仿宋" w:hAnsi="仿宋" w:eastAsia="仿宋" w:cs="Arial"/>
                <w:color w:val="auto"/>
                <w:szCs w:val="21"/>
              </w:rPr>
            </w:pPr>
            <w:r>
              <w:rPr>
                <w:rFonts w:hint="eastAsia" w:ascii="仿宋" w:hAnsi="仿宋" w:eastAsia="仿宋" w:cs="Arial"/>
                <w:color w:val="auto"/>
                <w:szCs w:val="21"/>
              </w:rPr>
              <w:t>3.终身禁止从事药品生产经营活动。</w:t>
            </w:r>
          </w:p>
        </w:tc>
        <w:tc>
          <w:tcPr>
            <w:tcW w:w="3860" w:type="dxa"/>
            <w:vAlign w:val="center"/>
          </w:tcPr>
          <w:p w14:paraId="09A1397B">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1.没收违法行为发生期间自本单位所获收入；</w:t>
            </w:r>
          </w:p>
          <w:p w14:paraId="192460EE">
            <w:pPr>
              <w:adjustRightInd w:val="0"/>
              <w:snapToGrid w:val="0"/>
              <w:jc w:val="both"/>
              <w:rPr>
                <w:rFonts w:ascii="仿宋" w:hAnsi="仿宋" w:eastAsia="仿宋" w:cs="Arial"/>
                <w:color w:val="auto"/>
                <w:szCs w:val="21"/>
              </w:rPr>
            </w:pPr>
            <w:r>
              <w:rPr>
                <w:rFonts w:hint="eastAsia" w:ascii="仿宋" w:hAnsi="仿宋" w:eastAsia="仿宋" w:cs="Arial"/>
                <w:color w:val="auto"/>
                <w:szCs w:val="21"/>
              </w:rPr>
              <w:t>2.并处所获收入2.19倍以上3倍以下的罚款；</w:t>
            </w:r>
          </w:p>
          <w:p w14:paraId="2D7DAF2E">
            <w:pPr>
              <w:adjustRightInd w:val="0"/>
              <w:snapToGrid w:val="0"/>
              <w:jc w:val="both"/>
              <w:rPr>
                <w:rFonts w:ascii="仿宋" w:hAnsi="仿宋" w:eastAsia="仿宋" w:cs="Arial"/>
                <w:color w:val="auto"/>
                <w:szCs w:val="21"/>
              </w:rPr>
            </w:pPr>
            <w:r>
              <w:rPr>
                <w:rFonts w:hint="eastAsia" w:ascii="仿宋" w:hAnsi="仿宋" w:eastAsia="仿宋" w:cs="Arial"/>
                <w:color w:val="auto"/>
                <w:szCs w:val="21"/>
              </w:rPr>
              <w:t>3.终身禁止从事药品生产经营活动。</w:t>
            </w:r>
          </w:p>
        </w:tc>
      </w:tr>
    </w:tbl>
    <w:p w14:paraId="328B32B2">
      <w:pPr>
        <w:tabs>
          <w:tab w:val="left" w:pos="562"/>
          <w:tab w:val="left" w:pos="2172"/>
          <w:tab w:val="left" w:pos="6134"/>
          <w:tab w:val="left" w:pos="9929"/>
        </w:tabs>
        <w:adjustRightInd w:val="0"/>
        <w:spacing w:line="180" w:lineRule="exact"/>
        <w:jc w:val="both"/>
        <w:rPr>
          <w:rFonts w:ascii="仿宋" w:hAnsi="仿宋" w:eastAsia="仿宋" w:cs="Arial"/>
          <w:color w:val="auto"/>
          <w:szCs w:val="21"/>
        </w:rPr>
      </w:pPr>
    </w:p>
    <w:tbl>
      <w:tblPr>
        <w:tblStyle w:val="6"/>
        <w:tblW w:w="13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39"/>
        <w:gridCol w:w="771"/>
        <w:gridCol w:w="3872"/>
        <w:gridCol w:w="3872"/>
        <w:gridCol w:w="3873"/>
      </w:tblGrid>
      <w:tr w14:paraId="2939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562" w:type="dxa"/>
            <w:vMerge w:val="restart"/>
            <w:vAlign w:val="center"/>
          </w:tcPr>
          <w:p w14:paraId="0267C2AD">
            <w:pPr>
              <w:widowControl/>
              <w:adjustRightInd w:val="0"/>
              <w:snapToGrid w:val="0"/>
              <w:jc w:val="center"/>
              <w:rPr>
                <w:rFonts w:ascii="仿宋" w:hAnsi="仿宋" w:eastAsia="仿宋" w:cs="Arial"/>
                <w:color w:val="auto"/>
                <w:szCs w:val="21"/>
              </w:rPr>
            </w:pPr>
            <w:r>
              <w:rPr>
                <w:rFonts w:hint="eastAsia" w:ascii="仿宋" w:hAnsi="仿宋" w:eastAsia="仿宋" w:cs="宋体"/>
                <w:b/>
                <w:bCs/>
                <w:color w:val="auto"/>
                <w:szCs w:val="21"/>
              </w:rPr>
              <w:t>6</w:t>
            </w:r>
          </w:p>
        </w:tc>
        <w:tc>
          <w:tcPr>
            <w:tcW w:w="1610" w:type="dxa"/>
            <w:gridSpan w:val="2"/>
            <w:vAlign w:val="center"/>
          </w:tcPr>
          <w:p w14:paraId="06A564C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617" w:type="dxa"/>
            <w:gridSpan w:val="3"/>
            <w:vAlign w:val="center"/>
          </w:tcPr>
          <w:p w14:paraId="7C9278E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知道或应当知道属于假药、劣药或者</w:t>
            </w: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第一百二十四条第一款第一项至第五项规定的药品，而为其提供储存、运输等便利条件的</w:t>
            </w:r>
          </w:p>
        </w:tc>
      </w:tr>
      <w:tr w14:paraId="38BB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562" w:type="dxa"/>
            <w:vMerge w:val="continue"/>
            <w:vAlign w:val="center"/>
          </w:tcPr>
          <w:p w14:paraId="55234E7D">
            <w:pPr>
              <w:widowControl/>
              <w:adjustRightInd w:val="0"/>
              <w:snapToGrid w:val="0"/>
              <w:jc w:val="both"/>
              <w:rPr>
                <w:rFonts w:ascii="仿宋" w:hAnsi="仿宋" w:eastAsia="仿宋" w:cs="Arial"/>
                <w:color w:val="auto"/>
                <w:szCs w:val="21"/>
              </w:rPr>
            </w:pPr>
          </w:p>
        </w:tc>
        <w:tc>
          <w:tcPr>
            <w:tcW w:w="1610" w:type="dxa"/>
            <w:gridSpan w:val="2"/>
            <w:vAlign w:val="center"/>
          </w:tcPr>
          <w:p w14:paraId="02AD704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617" w:type="dxa"/>
            <w:gridSpan w:val="3"/>
            <w:vAlign w:val="center"/>
          </w:tcPr>
          <w:p w14:paraId="1C1E6848">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eastAsia="zh-CN"/>
              </w:rPr>
              <w:t>《中华人民共和国药品管理法》</w:t>
            </w:r>
            <w:r>
              <w:rPr>
                <w:rFonts w:hint="eastAsia" w:ascii="仿宋" w:hAnsi="仿宋" w:eastAsia="仿宋" w:cs="Arial"/>
                <w:color w:val="auto"/>
                <w:szCs w:val="21"/>
              </w:rPr>
              <w:t>第一百二十条：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p>
        </w:tc>
      </w:tr>
      <w:tr w14:paraId="017C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14:paraId="246E578E">
            <w:pPr>
              <w:widowControl/>
              <w:adjustRightInd w:val="0"/>
              <w:snapToGrid w:val="0"/>
              <w:jc w:val="both"/>
              <w:rPr>
                <w:rFonts w:ascii="仿宋" w:hAnsi="仿宋" w:eastAsia="仿宋" w:cs="Arial"/>
                <w:color w:val="auto"/>
                <w:szCs w:val="21"/>
              </w:rPr>
            </w:pPr>
          </w:p>
        </w:tc>
        <w:tc>
          <w:tcPr>
            <w:tcW w:w="1610" w:type="dxa"/>
            <w:gridSpan w:val="2"/>
            <w:vAlign w:val="center"/>
          </w:tcPr>
          <w:p w14:paraId="6422D59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3872" w:type="dxa"/>
            <w:vAlign w:val="center"/>
          </w:tcPr>
          <w:p w14:paraId="18F8173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3872" w:type="dxa"/>
            <w:vAlign w:val="center"/>
          </w:tcPr>
          <w:p w14:paraId="19E9707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873" w:type="dxa"/>
            <w:vAlign w:val="center"/>
          </w:tcPr>
          <w:p w14:paraId="7DF9075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0C52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continue"/>
            <w:vAlign w:val="center"/>
          </w:tcPr>
          <w:p w14:paraId="654602C6">
            <w:pPr>
              <w:widowControl/>
              <w:adjustRightInd w:val="0"/>
              <w:snapToGrid w:val="0"/>
              <w:jc w:val="both"/>
              <w:rPr>
                <w:rFonts w:ascii="仿宋" w:hAnsi="仿宋" w:eastAsia="仿宋" w:cs="Arial"/>
                <w:color w:val="auto"/>
                <w:szCs w:val="21"/>
              </w:rPr>
            </w:pPr>
          </w:p>
        </w:tc>
        <w:tc>
          <w:tcPr>
            <w:tcW w:w="1610" w:type="dxa"/>
            <w:gridSpan w:val="2"/>
            <w:vAlign w:val="center"/>
          </w:tcPr>
          <w:p w14:paraId="6ACAAAC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3872" w:type="dxa"/>
            <w:vAlign w:val="center"/>
          </w:tcPr>
          <w:p w14:paraId="47D9F6D2">
            <w:pPr>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872" w:type="dxa"/>
            <w:vAlign w:val="center"/>
          </w:tcPr>
          <w:p w14:paraId="4960075D">
            <w:pPr>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873" w:type="dxa"/>
            <w:vAlign w:val="center"/>
          </w:tcPr>
          <w:p w14:paraId="32A00A45">
            <w:pPr>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33A1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562" w:type="dxa"/>
            <w:vMerge w:val="continue"/>
            <w:vAlign w:val="center"/>
          </w:tcPr>
          <w:p w14:paraId="11998970">
            <w:pPr>
              <w:widowControl/>
              <w:adjustRightInd w:val="0"/>
              <w:snapToGrid w:val="0"/>
              <w:jc w:val="both"/>
              <w:rPr>
                <w:rFonts w:ascii="仿宋" w:hAnsi="仿宋" w:eastAsia="仿宋" w:cs="Arial"/>
                <w:color w:val="auto"/>
                <w:szCs w:val="21"/>
              </w:rPr>
            </w:pPr>
          </w:p>
        </w:tc>
        <w:tc>
          <w:tcPr>
            <w:tcW w:w="839" w:type="dxa"/>
            <w:vMerge w:val="restart"/>
            <w:vAlign w:val="center"/>
          </w:tcPr>
          <w:p w14:paraId="5FC1B8D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771" w:type="dxa"/>
            <w:vAlign w:val="center"/>
          </w:tcPr>
          <w:p w14:paraId="594B17C4">
            <w:pPr>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一般情形</w:t>
            </w:r>
          </w:p>
        </w:tc>
        <w:tc>
          <w:tcPr>
            <w:tcW w:w="3872" w:type="dxa"/>
            <w:vAlign w:val="center"/>
          </w:tcPr>
          <w:p w14:paraId="457B11CE">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1.没收全部储存、运输收入；</w:t>
            </w:r>
          </w:p>
          <w:p w14:paraId="7D56366E">
            <w:pPr>
              <w:adjustRightInd w:val="0"/>
              <w:snapToGrid w:val="0"/>
              <w:jc w:val="both"/>
              <w:rPr>
                <w:rFonts w:ascii="仿宋" w:hAnsi="仿宋" w:eastAsia="仿宋" w:cs="Arial"/>
                <w:color w:val="auto"/>
                <w:szCs w:val="21"/>
              </w:rPr>
            </w:pPr>
            <w:r>
              <w:rPr>
                <w:rFonts w:hint="eastAsia" w:ascii="仿宋" w:hAnsi="仿宋" w:eastAsia="仿宋" w:cs="Arial"/>
                <w:color w:val="auto"/>
                <w:szCs w:val="21"/>
              </w:rPr>
              <w:t>2.并处违法收入1倍以上2.2倍以下罚款；</w:t>
            </w:r>
          </w:p>
          <w:p w14:paraId="7DAF2A7A">
            <w:pPr>
              <w:adjustRightInd w:val="0"/>
              <w:snapToGrid w:val="0"/>
              <w:jc w:val="both"/>
              <w:rPr>
                <w:rFonts w:ascii="仿宋" w:hAnsi="仿宋" w:eastAsia="仿宋" w:cs="Arial"/>
                <w:color w:val="auto"/>
                <w:szCs w:val="21"/>
              </w:rPr>
            </w:pPr>
            <w:r>
              <w:rPr>
                <w:rFonts w:hint="eastAsia" w:ascii="仿宋" w:hAnsi="仿宋" w:eastAsia="仿宋" w:cs="Arial"/>
                <w:color w:val="auto"/>
                <w:szCs w:val="21"/>
              </w:rPr>
              <w:t>3.违法收入不足5万元的，按5万元计算。</w:t>
            </w:r>
          </w:p>
        </w:tc>
        <w:tc>
          <w:tcPr>
            <w:tcW w:w="3872" w:type="dxa"/>
            <w:vAlign w:val="center"/>
          </w:tcPr>
          <w:p w14:paraId="131F28A4">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1.没收全部储存、运输收入；</w:t>
            </w:r>
          </w:p>
          <w:p w14:paraId="6F48A3D1">
            <w:pPr>
              <w:adjustRightInd w:val="0"/>
              <w:snapToGrid w:val="0"/>
              <w:jc w:val="both"/>
              <w:rPr>
                <w:rFonts w:ascii="仿宋" w:hAnsi="仿宋" w:eastAsia="仿宋" w:cs="Arial"/>
                <w:color w:val="auto"/>
                <w:szCs w:val="21"/>
              </w:rPr>
            </w:pPr>
            <w:r>
              <w:rPr>
                <w:rFonts w:hint="eastAsia" w:ascii="仿宋" w:hAnsi="仿宋" w:eastAsia="仿宋" w:cs="Arial"/>
                <w:color w:val="auto"/>
                <w:szCs w:val="21"/>
              </w:rPr>
              <w:t>2.并处违法收入2.2倍以上3.8倍以下罚款；</w:t>
            </w:r>
          </w:p>
          <w:p w14:paraId="236547F1">
            <w:pPr>
              <w:adjustRightInd w:val="0"/>
              <w:snapToGrid w:val="0"/>
              <w:jc w:val="both"/>
              <w:rPr>
                <w:rFonts w:ascii="仿宋" w:hAnsi="仿宋" w:eastAsia="仿宋" w:cs="Arial"/>
                <w:color w:val="auto"/>
                <w:szCs w:val="21"/>
              </w:rPr>
            </w:pPr>
            <w:r>
              <w:rPr>
                <w:rFonts w:hint="eastAsia" w:ascii="仿宋" w:hAnsi="仿宋" w:eastAsia="仿宋" w:cs="Arial"/>
                <w:color w:val="auto"/>
                <w:szCs w:val="21"/>
              </w:rPr>
              <w:t>3.违法收入不足5万元的，按5万元计算。</w:t>
            </w:r>
          </w:p>
        </w:tc>
        <w:tc>
          <w:tcPr>
            <w:tcW w:w="3873" w:type="dxa"/>
            <w:vAlign w:val="center"/>
          </w:tcPr>
          <w:p w14:paraId="7BFC241A">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1.没收全部储存、运输收入；</w:t>
            </w:r>
          </w:p>
          <w:p w14:paraId="04684930">
            <w:pPr>
              <w:adjustRightInd w:val="0"/>
              <w:snapToGrid w:val="0"/>
              <w:jc w:val="both"/>
              <w:rPr>
                <w:rFonts w:ascii="仿宋" w:hAnsi="仿宋" w:eastAsia="仿宋" w:cs="Arial"/>
                <w:color w:val="auto"/>
                <w:szCs w:val="21"/>
              </w:rPr>
            </w:pPr>
            <w:r>
              <w:rPr>
                <w:rFonts w:hint="eastAsia" w:ascii="仿宋" w:hAnsi="仿宋" w:eastAsia="仿宋" w:cs="Arial"/>
                <w:color w:val="auto"/>
                <w:szCs w:val="21"/>
              </w:rPr>
              <w:t>2.并处违法收入3.8倍以上5倍以下罚款；</w:t>
            </w:r>
          </w:p>
          <w:p w14:paraId="069537C8">
            <w:pPr>
              <w:adjustRightInd w:val="0"/>
              <w:snapToGrid w:val="0"/>
              <w:jc w:val="both"/>
              <w:rPr>
                <w:rFonts w:ascii="仿宋" w:hAnsi="仿宋" w:eastAsia="仿宋" w:cs="Arial"/>
                <w:color w:val="auto"/>
                <w:szCs w:val="21"/>
              </w:rPr>
            </w:pPr>
            <w:r>
              <w:rPr>
                <w:rFonts w:hint="eastAsia" w:ascii="仿宋" w:hAnsi="仿宋" w:eastAsia="仿宋" w:cs="Arial"/>
                <w:color w:val="auto"/>
                <w:szCs w:val="21"/>
              </w:rPr>
              <w:t>3.违法收入不足5万元的，按5万元计算。</w:t>
            </w:r>
          </w:p>
        </w:tc>
      </w:tr>
      <w:tr w14:paraId="58DB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2" w:hRule="atLeast"/>
          <w:jc w:val="center"/>
        </w:trPr>
        <w:tc>
          <w:tcPr>
            <w:tcW w:w="562" w:type="dxa"/>
            <w:vMerge w:val="continue"/>
            <w:vAlign w:val="center"/>
          </w:tcPr>
          <w:p w14:paraId="081571AD">
            <w:pPr>
              <w:widowControl/>
              <w:adjustRightInd w:val="0"/>
              <w:snapToGrid w:val="0"/>
              <w:jc w:val="both"/>
              <w:rPr>
                <w:rFonts w:ascii="仿宋" w:hAnsi="仿宋" w:eastAsia="仿宋" w:cs="Arial"/>
                <w:color w:val="auto"/>
                <w:szCs w:val="21"/>
              </w:rPr>
            </w:pPr>
          </w:p>
        </w:tc>
        <w:tc>
          <w:tcPr>
            <w:tcW w:w="839" w:type="dxa"/>
            <w:vMerge w:val="continue"/>
            <w:vAlign w:val="center"/>
          </w:tcPr>
          <w:p w14:paraId="08296CC1">
            <w:pPr>
              <w:widowControl/>
              <w:adjustRightInd w:val="0"/>
              <w:snapToGrid w:val="0"/>
              <w:jc w:val="both"/>
              <w:rPr>
                <w:rFonts w:ascii="仿宋" w:hAnsi="仿宋" w:eastAsia="仿宋" w:cs="Arial"/>
                <w:color w:val="auto"/>
                <w:szCs w:val="21"/>
              </w:rPr>
            </w:pPr>
          </w:p>
        </w:tc>
        <w:tc>
          <w:tcPr>
            <w:tcW w:w="771" w:type="dxa"/>
            <w:vAlign w:val="center"/>
          </w:tcPr>
          <w:p w14:paraId="2A68119E">
            <w:pPr>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情节严重</w:t>
            </w:r>
          </w:p>
        </w:tc>
        <w:tc>
          <w:tcPr>
            <w:tcW w:w="3872" w:type="dxa"/>
            <w:vAlign w:val="center"/>
          </w:tcPr>
          <w:p w14:paraId="5685DE63">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1.没收全部储存、运输收入；</w:t>
            </w:r>
          </w:p>
          <w:p w14:paraId="1CD780A1">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1.处违法收入5倍以上8倍以下的罚款。</w:t>
            </w:r>
          </w:p>
          <w:p w14:paraId="36A90036">
            <w:pPr>
              <w:adjustRightInd w:val="0"/>
              <w:snapToGrid w:val="0"/>
              <w:jc w:val="both"/>
              <w:rPr>
                <w:rFonts w:ascii="仿宋" w:hAnsi="仿宋" w:eastAsia="仿宋" w:cs="Arial"/>
                <w:color w:val="auto"/>
                <w:szCs w:val="21"/>
              </w:rPr>
            </w:pPr>
            <w:r>
              <w:rPr>
                <w:rFonts w:hint="eastAsia" w:ascii="仿宋" w:hAnsi="仿宋" w:eastAsia="仿宋" w:cs="Arial"/>
                <w:color w:val="auto"/>
                <w:szCs w:val="21"/>
              </w:rPr>
              <w:t>2.违法收入不足5万元的，按5万元计算。</w:t>
            </w:r>
          </w:p>
        </w:tc>
        <w:tc>
          <w:tcPr>
            <w:tcW w:w="3872" w:type="dxa"/>
            <w:vAlign w:val="center"/>
          </w:tcPr>
          <w:p w14:paraId="327E0301">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1.没收全部储存、运输收入；</w:t>
            </w:r>
          </w:p>
          <w:p w14:paraId="537F7153">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1.处违法收入8倍以上12倍以下的罚款。</w:t>
            </w:r>
          </w:p>
          <w:p w14:paraId="58B47007">
            <w:pPr>
              <w:adjustRightInd w:val="0"/>
              <w:snapToGrid w:val="0"/>
              <w:jc w:val="both"/>
              <w:rPr>
                <w:rFonts w:ascii="仿宋" w:hAnsi="仿宋" w:eastAsia="仿宋" w:cs="Arial"/>
                <w:color w:val="auto"/>
                <w:szCs w:val="21"/>
              </w:rPr>
            </w:pPr>
            <w:r>
              <w:rPr>
                <w:rFonts w:hint="eastAsia" w:ascii="仿宋" w:hAnsi="仿宋" w:eastAsia="仿宋" w:cs="Arial"/>
                <w:color w:val="auto"/>
                <w:szCs w:val="21"/>
              </w:rPr>
              <w:t>2.违法收入不足5万元的，按5万元计算。</w:t>
            </w:r>
          </w:p>
        </w:tc>
        <w:tc>
          <w:tcPr>
            <w:tcW w:w="3873" w:type="dxa"/>
            <w:vAlign w:val="center"/>
          </w:tcPr>
          <w:p w14:paraId="249B76EE">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1.没收全部储存、运输收入；</w:t>
            </w:r>
          </w:p>
          <w:p w14:paraId="55DAFC65">
            <w:pPr>
              <w:adjustRightInd w:val="0"/>
              <w:snapToGrid w:val="0"/>
              <w:jc w:val="both"/>
              <w:rPr>
                <w:rFonts w:ascii="仿宋" w:hAnsi="仿宋" w:eastAsia="仿宋" w:cs="Arial"/>
                <w:color w:val="auto"/>
                <w:szCs w:val="21"/>
              </w:rPr>
            </w:pPr>
            <w:r>
              <w:rPr>
                <w:rFonts w:hint="eastAsia" w:ascii="仿宋" w:hAnsi="仿宋" w:eastAsia="仿宋" w:cs="Arial"/>
                <w:color w:val="auto"/>
                <w:szCs w:val="21"/>
              </w:rPr>
              <w:t>1.处违法收入12倍以上15倍以下的罚款。</w:t>
            </w:r>
          </w:p>
          <w:p w14:paraId="5A2A25E8">
            <w:pPr>
              <w:adjustRightInd w:val="0"/>
              <w:snapToGrid w:val="0"/>
              <w:jc w:val="both"/>
              <w:rPr>
                <w:rFonts w:ascii="仿宋" w:hAnsi="仿宋" w:eastAsia="仿宋" w:cs="Arial"/>
                <w:color w:val="auto"/>
                <w:szCs w:val="21"/>
              </w:rPr>
            </w:pPr>
            <w:r>
              <w:rPr>
                <w:rFonts w:hint="eastAsia" w:ascii="仿宋" w:hAnsi="仿宋" w:eastAsia="仿宋" w:cs="Arial"/>
                <w:color w:val="auto"/>
                <w:szCs w:val="21"/>
              </w:rPr>
              <w:t>2.违法收入不足5万元的，按5万元计算。</w:t>
            </w:r>
          </w:p>
        </w:tc>
      </w:tr>
    </w:tbl>
    <w:p w14:paraId="32DFF9F9">
      <w:pPr>
        <w:tabs>
          <w:tab w:val="left" w:pos="450"/>
          <w:tab w:val="left" w:pos="2172"/>
          <w:tab w:val="left" w:pos="3375"/>
          <w:tab w:val="left" w:pos="6134"/>
          <w:tab w:val="left" w:pos="9929"/>
        </w:tabs>
        <w:adjustRightInd w:val="0"/>
        <w:snapToGrid w:val="0"/>
        <w:jc w:val="both"/>
        <w:rPr>
          <w:rFonts w:ascii="仿宋" w:hAnsi="仿宋" w:eastAsia="仿宋" w:cs="Arial"/>
          <w:color w:val="auto"/>
          <w:szCs w:val="21"/>
        </w:rPr>
      </w:pPr>
    </w:p>
    <w:tbl>
      <w:tblPr>
        <w:tblStyle w:val="6"/>
        <w:tblW w:w="13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65"/>
        <w:gridCol w:w="766"/>
        <w:gridCol w:w="1276"/>
        <w:gridCol w:w="2976"/>
        <w:gridCol w:w="2977"/>
        <w:gridCol w:w="4577"/>
      </w:tblGrid>
      <w:tr w14:paraId="3B5F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Merge w:val="restart"/>
            <w:vAlign w:val="center"/>
          </w:tcPr>
          <w:p w14:paraId="77AD0987">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7</w:t>
            </w:r>
          </w:p>
        </w:tc>
        <w:tc>
          <w:tcPr>
            <w:tcW w:w="1531" w:type="dxa"/>
            <w:gridSpan w:val="2"/>
            <w:vAlign w:val="center"/>
          </w:tcPr>
          <w:p w14:paraId="6DD3579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806" w:type="dxa"/>
            <w:gridSpan w:val="4"/>
            <w:vAlign w:val="center"/>
          </w:tcPr>
          <w:p w14:paraId="6F9B90E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伪造、变造、出租、出借、非法买卖许可证或者药品批准证明文件的</w:t>
            </w:r>
          </w:p>
        </w:tc>
      </w:tr>
      <w:tr w14:paraId="5D72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562" w:type="dxa"/>
            <w:vMerge w:val="continue"/>
            <w:vAlign w:val="center"/>
          </w:tcPr>
          <w:p w14:paraId="28404E86">
            <w:pPr>
              <w:widowControl/>
              <w:adjustRightInd w:val="0"/>
              <w:snapToGrid w:val="0"/>
              <w:jc w:val="both"/>
              <w:rPr>
                <w:rFonts w:ascii="仿宋" w:hAnsi="仿宋" w:eastAsia="仿宋" w:cs="Arial"/>
                <w:color w:val="auto"/>
                <w:szCs w:val="21"/>
              </w:rPr>
            </w:pPr>
          </w:p>
        </w:tc>
        <w:tc>
          <w:tcPr>
            <w:tcW w:w="1531" w:type="dxa"/>
            <w:gridSpan w:val="2"/>
            <w:vAlign w:val="center"/>
          </w:tcPr>
          <w:p w14:paraId="14B1F21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806" w:type="dxa"/>
            <w:gridSpan w:val="4"/>
            <w:vAlign w:val="center"/>
          </w:tcPr>
          <w:p w14:paraId="488B88E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lang w:eastAsia="zh-CN"/>
              </w:rPr>
              <w:t>《中华人民共和国药品管理法》</w:t>
            </w:r>
            <w:r>
              <w:rPr>
                <w:rFonts w:hint="eastAsia" w:ascii="仿宋" w:hAnsi="仿宋" w:eastAsia="仿宋" w:cs="Arial"/>
                <w:color w:val="auto"/>
                <w:szCs w:val="21"/>
              </w:rPr>
              <w:t>第一百二十二条：伪造、变造、出租、出借、非法买卖许可证或者药品批准证明文件的，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处五日以上十五日以下的拘留；违法所得不足十万元的，按十万元计算。</w:t>
            </w:r>
          </w:p>
        </w:tc>
      </w:tr>
      <w:tr w14:paraId="7743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vAlign w:val="center"/>
          </w:tcPr>
          <w:p w14:paraId="3EBDB02F">
            <w:pPr>
              <w:widowControl/>
              <w:adjustRightInd w:val="0"/>
              <w:snapToGrid w:val="0"/>
              <w:jc w:val="both"/>
              <w:rPr>
                <w:rFonts w:ascii="仿宋" w:hAnsi="仿宋" w:eastAsia="仿宋" w:cs="Arial"/>
                <w:color w:val="auto"/>
                <w:szCs w:val="21"/>
              </w:rPr>
            </w:pPr>
          </w:p>
        </w:tc>
        <w:tc>
          <w:tcPr>
            <w:tcW w:w="1531" w:type="dxa"/>
            <w:gridSpan w:val="2"/>
            <w:vAlign w:val="center"/>
          </w:tcPr>
          <w:p w14:paraId="1020835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4252" w:type="dxa"/>
            <w:gridSpan w:val="2"/>
            <w:vAlign w:val="center"/>
          </w:tcPr>
          <w:p w14:paraId="3DF8281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977" w:type="dxa"/>
            <w:vAlign w:val="center"/>
          </w:tcPr>
          <w:p w14:paraId="7729F54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4577" w:type="dxa"/>
            <w:vAlign w:val="center"/>
          </w:tcPr>
          <w:p w14:paraId="497B1B8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12DC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562" w:type="dxa"/>
            <w:vMerge w:val="continue"/>
            <w:vAlign w:val="center"/>
          </w:tcPr>
          <w:p w14:paraId="6F7F13C3">
            <w:pPr>
              <w:widowControl/>
              <w:adjustRightInd w:val="0"/>
              <w:snapToGrid w:val="0"/>
              <w:jc w:val="both"/>
              <w:rPr>
                <w:rFonts w:ascii="仿宋" w:hAnsi="仿宋" w:eastAsia="仿宋" w:cs="Arial"/>
                <w:color w:val="auto"/>
                <w:szCs w:val="21"/>
              </w:rPr>
            </w:pPr>
          </w:p>
        </w:tc>
        <w:tc>
          <w:tcPr>
            <w:tcW w:w="1531" w:type="dxa"/>
            <w:gridSpan w:val="2"/>
            <w:vAlign w:val="center"/>
          </w:tcPr>
          <w:p w14:paraId="75FC8F0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4252" w:type="dxa"/>
            <w:gridSpan w:val="2"/>
            <w:vAlign w:val="center"/>
          </w:tcPr>
          <w:p w14:paraId="3CCDCD3E">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（一）初次出租、出借许可证或者批准证明文件的；</w:t>
            </w:r>
          </w:p>
          <w:p w14:paraId="7F9979DC">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977" w:type="dxa"/>
            <w:vAlign w:val="center"/>
          </w:tcPr>
          <w:p w14:paraId="01F1F7A5">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4577" w:type="dxa"/>
            <w:vAlign w:val="center"/>
          </w:tcPr>
          <w:p w14:paraId="2F7309FB">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（一）出租、出借许可证或者批准证明文件3次以上，造成较大社会影响或较大危害后果的；</w:t>
            </w:r>
          </w:p>
          <w:p w14:paraId="4B83F4DD">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（二）通过伪造、变造许可证或者批准证明文件实施违法行为的，造成较大社会影响或较大危害后果的；</w:t>
            </w:r>
          </w:p>
          <w:p w14:paraId="761FB034">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（三）其他符合裁量规则从重行政处罚情形的。</w:t>
            </w:r>
          </w:p>
        </w:tc>
      </w:tr>
      <w:tr w14:paraId="09EE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dxa"/>
            <w:vMerge w:val="continue"/>
            <w:vAlign w:val="center"/>
          </w:tcPr>
          <w:p w14:paraId="6396791F">
            <w:pPr>
              <w:widowControl/>
              <w:adjustRightInd w:val="0"/>
              <w:snapToGrid w:val="0"/>
              <w:jc w:val="both"/>
              <w:rPr>
                <w:rFonts w:ascii="仿宋" w:hAnsi="仿宋" w:eastAsia="仿宋" w:cs="Arial"/>
                <w:color w:val="auto"/>
                <w:szCs w:val="21"/>
              </w:rPr>
            </w:pPr>
          </w:p>
        </w:tc>
        <w:tc>
          <w:tcPr>
            <w:tcW w:w="765" w:type="dxa"/>
            <w:vMerge w:val="restart"/>
            <w:vAlign w:val="center"/>
          </w:tcPr>
          <w:p w14:paraId="2A459E0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766" w:type="dxa"/>
            <w:vAlign w:val="center"/>
          </w:tcPr>
          <w:p w14:paraId="287E4A5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一般情形</w:t>
            </w:r>
          </w:p>
        </w:tc>
        <w:tc>
          <w:tcPr>
            <w:tcW w:w="4252" w:type="dxa"/>
            <w:gridSpan w:val="2"/>
            <w:vAlign w:val="center"/>
          </w:tcPr>
          <w:p w14:paraId="4257F8DA">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1.没收违法所得；</w:t>
            </w:r>
          </w:p>
          <w:p w14:paraId="39325F43">
            <w:pPr>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rPr>
              <w:t>2.并处违法所得1倍以上2.2倍以下罚款</w:t>
            </w:r>
            <w:r>
              <w:rPr>
                <w:rFonts w:hint="eastAsia" w:ascii="仿宋" w:hAnsi="仿宋" w:eastAsia="仿宋" w:cs="Arial"/>
                <w:color w:val="auto"/>
                <w:szCs w:val="21"/>
                <w:lang w:eastAsia="zh-CN"/>
              </w:rPr>
              <w:t>；</w:t>
            </w:r>
          </w:p>
          <w:p w14:paraId="3202314D">
            <w:pPr>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违法所得不足十万元的，按十万元计算。</w:t>
            </w:r>
          </w:p>
        </w:tc>
        <w:tc>
          <w:tcPr>
            <w:tcW w:w="2977" w:type="dxa"/>
            <w:vAlign w:val="center"/>
          </w:tcPr>
          <w:p w14:paraId="066D1C26">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1.没收违法所得；</w:t>
            </w:r>
          </w:p>
          <w:p w14:paraId="7A4CBB95">
            <w:pPr>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rPr>
              <w:t>2.并处违法所得2.2倍以上3.8倍以下罚款</w:t>
            </w:r>
            <w:r>
              <w:rPr>
                <w:rFonts w:hint="eastAsia" w:ascii="仿宋" w:hAnsi="仿宋" w:eastAsia="仿宋" w:cs="Arial"/>
                <w:color w:val="auto"/>
                <w:szCs w:val="21"/>
                <w:lang w:eastAsia="zh-CN"/>
              </w:rPr>
              <w:t>；</w:t>
            </w:r>
          </w:p>
          <w:p w14:paraId="3FBB99DD">
            <w:pPr>
              <w:adjustRightInd w:val="0"/>
              <w:snapToGrid w:val="0"/>
              <w:spacing w:line="240" w:lineRule="exact"/>
              <w:jc w:val="both"/>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违法所得不足十万元的，按十万元计算。</w:t>
            </w:r>
          </w:p>
        </w:tc>
        <w:tc>
          <w:tcPr>
            <w:tcW w:w="4577" w:type="dxa"/>
            <w:vAlign w:val="center"/>
          </w:tcPr>
          <w:p w14:paraId="6581335D">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1.没收违法所得；</w:t>
            </w:r>
          </w:p>
          <w:p w14:paraId="3DE1FBFF">
            <w:pPr>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rPr>
              <w:t>2.并处违法所得3.8倍以上5倍以下罚款</w:t>
            </w:r>
            <w:r>
              <w:rPr>
                <w:rFonts w:hint="eastAsia" w:ascii="仿宋" w:hAnsi="仿宋" w:eastAsia="仿宋" w:cs="Arial"/>
                <w:color w:val="auto"/>
                <w:szCs w:val="21"/>
                <w:lang w:eastAsia="zh-CN"/>
              </w:rPr>
              <w:t>；</w:t>
            </w:r>
          </w:p>
          <w:p w14:paraId="417FE9C6">
            <w:pPr>
              <w:adjustRightInd w:val="0"/>
              <w:snapToGrid w:val="0"/>
              <w:spacing w:line="240" w:lineRule="exact"/>
              <w:jc w:val="both"/>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违法所得不足十万元的，按十万元计算。</w:t>
            </w:r>
          </w:p>
        </w:tc>
      </w:tr>
      <w:tr w14:paraId="360F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562" w:type="dxa"/>
            <w:vMerge w:val="continue"/>
            <w:vAlign w:val="center"/>
          </w:tcPr>
          <w:p w14:paraId="3D212434">
            <w:pPr>
              <w:widowControl/>
              <w:adjustRightInd w:val="0"/>
              <w:snapToGrid w:val="0"/>
              <w:jc w:val="both"/>
              <w:rPr>
                <w:rFonts w:ascii="仿宋" w:hAnsi="仿宋" w:eastAsia="仿宋" w:cs="Arial"/>
                <w:color w:val="auto"/>
                <w:szCs w:val="21"/>
              </w:rPr>
            </w:pPr>
          </w:p>
        </w:tc>
        <w:tc>
          <w:tcPr>
            <w:tcW w:w="765" w:type="dxa"/>
            <w:vMerge w:val="continue"/>
            <w:vAlign w:val="center"/>
          </w:tcPr>
          <w:p w14:paraId="14E27016">
            <w:pPr>
              <w:widowControl/>
              <w:adjustRightInd w:val="0"/>
              <w:snapToGrid w:val="0"/>
              <w:jc w:val="both"/>
              <w:rPr>
                <w:rFonts w:ascii="仿宋" w:hAnsi="仿宋" w:eastAsia="仿宋" w:cs="Arial"/>
                <w:color w:val="auto"/>
                <w:szCs w:val="21"/>
              </w:rPr>
            </w:pPr>
          </w:p>
        </w:tc>
        <w:tc>
          <w:tcPr>
            <w:tcW w:w="766" w:type="dxa"/>
            <w:vMerge w:val="restart"/>
            <w:vAlign w:val="center"/>
          </w:tcPr>
          <w:p w14:paraId="3B861323">
            <w:pPr>
              <w:widowControl/>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情节</w:t>
            </w:r>
          </w:p>
          <w:p w14:paraId="54AEB3FA">
            <w:pPr>
              <w:widowControl/>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严重</w:t>
            </w:r>
          </w:p>
        </w:tc>
        <w:tc>
          <w:tcPr>
            <w:tcW w:w="1276" w:type="dxa"/>
            <w:vAlign w:val="center"/>
          </w:tcPr>
          <w:p w14:paraId="09A4A108">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对单位的处罚</w:t>
            </w:r>
          </w:p>
        </w:tc>
        <w:tc>
          <w:tcPr>
            <w:tcW w:w="2976" w:type="dxa"/>
            <w:vAlign w:val="center"/>
          </w:tcPr>
          <w:p w14:paraId="6AA01469">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1.没收违法所得；</w:t>
            </w:r>
          </w:p>
          <w:p w14:paraId="530673F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lang w:val="en-US" w:eastAsia="zh-CN"/>
              </w:rPr>
              <w:t>2</w:t>
            </w:r>
            <w:r>
              <w:rPr>
                <w:rFonts w:hint="eastAsia" w:ascii="仿宋" w:hAnsi="仿宋" w:eastAsia="仿宋" w:cs="Arial"/>
                <w:color w:val="auto"/>
                <w:szCs w:val="21"/>
              </w:rPr>
              <w:t>.并处违法所得5倍以上8倍以下的罚款；</w:t>
            </w:r>
          </w:p>
          <w:p w14:paraId="6D8AF659">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.吊销药品生产许可证、药品经营许可证、医疗机构制剂许可证或者药品批准证明文件</w:t>
            </w:r>
            <w:r>
              <w:rPr>
                <w:rFonts w:hint="eastAsia" w:ascii="仿宋" w:hAnsi="仿宋" w:eastAsia="仿宋" w:cs="Arial"/>
                <w:color w:val="auto"/>
                <w:szCs w:val="21"/>
                <w:lang w:eastAsia="zh-CN"/>
              </w:rPr>
              <w:t>；</w:t>
            </w:r>
          </w:p>
          <w:p w14:paraId="6E193F21">
            <w:pPr>
              <w:widowControl/>
              <w:adjustRightInd w:val="0"/>
              <w:snapToGrid w:val="0"/>
              <w:spacing w:line="240" w:lineRule="exact"/>
              <w:jc w:val="both"/>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违法所得不足十万元的，按十万元计算。</w:t>
            </w:r>
          </w:p>
        </w:tc>
        <w:tc>
          <w:tcPr>
            <w:tcW w:w="2977" w:type="dxa"/>
            <w:vAlign w:val="center"/>
          </w:tcPr>
          <w:p w14:paraId="711015F4">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1.没收违法所得；</w:t>
            </w:r>
          </w:p>
          <w:p w14:paraId="096766D2">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lang w:val="en-US" w:eastAsia="zh-CN"/>
              </w:rPr>
              <w:t>2</w:t>
            </w:r>
            <w:r>
              <w:rPr>
                <w:rFonts w:hint="eastAsia" w:ascii="仿宋" w:hAnsi="仿宋" w:eastAsia="仿宋" w:cs="Arial"/>
                <w:color w:val="auto"/>
                <w:szCs w:val="21"/>
              </w:rPr>
              <w:t>.并处违法所得8倍以上12倍以下的罚款；</w:t>
            </w:r>
          </w:p>
          <w:p w14:paraId="38E97508">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.吊销药品生产许可证、药品经营许可证、医疗机构制剂许可证或者药品批准证明文件</w:t>
            </w:r>
            <w:r>
              <w:rPr>
                <w:rFonts w:hint="eastAsia" w:ascii="仿宋" w:hAnsi="仿宋" w:eastAsia="仿宋" w:cs="Arial"/>
                <w:color w:val="auto"/>
                <w:szCs w:val="21"/>
                <w:lang w:eastAsia="zh-CN"/>
              </w:rPr>
              <w:t>；</w:t>
            </w:r>
          </w:p>
          <w:p w14:paraId="407F8A67">
            <w:pPr>
              <w:widowControl/>
              <w:adjustRightInd w:val="0"/>
              <w:snapToGrid w:val="0"/>
              <w:spacing w:line="240" w:lineRule="exact"/>
              <w:jc w:val="both"/>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违法所得不足十万元的，按十万元计算。</w:t>
            </w:r>
          </w:p>
        </w:tc>
        <w:tc>
          <w:tcPr>
            <w:tcW w:w="4577" w:type="dxa"/>
            <w:vAlign w:val="center"/>
          </w:tcPr>
          <w:p w14:paraId="666168A8">
            <w:pPr>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1.没收违法所得；</w:t>
            </w:r>
          </w:p>
          <w:p w14:paraId="52122112">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lang w:val="en-US" w:eastAsia="zh-CN"/>
              </w:rPr>
              <w:t>2</w:t>
            </w:r>
            <w:r>
              <w:rPr>
                <w:rFonts w:hint="eastAsia" w:ascii="仿宋" w:hAnsi="仿宋" w:eastAsia="仿宋" w:cs="Arial"/>
                <w:color w:val="auto"/>
                <w:szCs w:val="21"/>
              </w:rPr>
              <w:t>.并处违法所得12倍以上15倍以下的罚款；</w:t>
            </w:r>
          </w:p>
          <w:p w14:paraId="7985E2F0">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.吊销药品生产许可证、药品经营许可证、医疗机构制剂许可证或者药品批准证明文件</w:t>
            </w:r>
            <w:r>
              <w:rPr>
                <w:rFonts w:hint="eastAsia" w:ascii="仿宋" w:hAnsi="仿宋" w:eastAsia="仿宋" w:cs="Arial"/>
                <w:color w:val="auto"/>
                <w:szCs w:val="21"/>
                <w:lang w:eastAsia="zh-CN"/>
              </w:rPr>
              <w:t>；</w:t>
            </w:r>
          </w:p>
          <w:p w14:paraId="06E09546">
            <w:pPr>
              <w:widowControl/>
              <w:adjustRightInd w:val="0"/>
              <w:snapToGrid w:val="0"/>
              <w:spacing w:line="240" w:lineRule="exact"/>
              <w:jc w:val="both"/>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违法所得不足十万元的，按十万元计算。</w:t>
            </w:r>
          </w:p>
        </w:tc>
      </w:tr>
      <w:tr w14:paraId="3CD1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562" w:type="dxa"/>
            <w:vMerge w:val="continue"/>
            <w:vAlign w:val="center"/>
          </w:tcPr>
          <w:p w14:paraId="325A8C87">
            <w:pPr>
              <w:widowControl/>
              <w:adjustRightInd w:val="0"/>
              <w:snapToGrid w:val="0"/>
              <w:jc w:val="both"/>
              <w:rPr>
                <w:rFonts w:ascii="仿宋" w:hAnsi="仿宋" w:eastAsia="仿宋" w:cs="Arial"/>
                <w:color w:val="auto"/>
                <w:szCs w:val="21"/>
              </w:rPr>
            </w:pPr>
          </w:p>
        </w:tc>
        <w:tc>
          <w:tcPr>
            <w:tcW w:w="765" w:type="dxa"/>
            <w:vMerge w:val="continue"/>
            <w:vAlign w:val="center"/>
          </w:tcPr>
          <w:p w14:paraId="390970E0">
            <w:pPr>
              <w:widowControl/>
              <w:adjustRightInd w:val="0"/>
              <w:snapToGrid w:val="0"/>
              <w:jc w:val="both"/>
              <w:rPr>
                <w:rFonts w:ascii="仿宋" w:hAnsi="仿宋" w:eastAsia="仿宋" w:cs="Arial"/>
                <w:color w:val="auto"/>
                <w:szCs w:val="21"/>
              </w:rPr>
            </w:pPr>
          </w:p>
        </w:tc>
        <w:tc>
          <w:tcPr>
            <w:tcW w:w="766" w:type="dxa"/>
            <w:vMerge w:val="continue"/>
            <w:vAlign w:val="center"/>
          </w:tcPr>
          <w:p w14:paraId="5548AF07">
            <w:pPr>
              <w:widowControl/>
              <w:adjustRightInd w:val="0"/>
              <w:snapToGrid w:val="0"/>
              <w:jc w:val="both"/>
              <w:rPr>
                <w:rFonts w:ascii="仿宋" w:hAnsi="仿宋" w:eastAsia="仿宋" w:cs="Arial"/>
                <w:color w:val="auto"/>
                <w:szCs w:val="21"/>
              </w:rPr>
            </w:pPr>
          </w:p>
        </w:tc>
        <w:tc>
          <w:tcPr>
            <w:tcW w:w="1276" w:type="dxa"/>
            <w:vAlign w:val="center"/>
          </w:tcPr>
          <w:p w14:paraId="5042443B">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对责任人的处罚</w:t>
            </w:r>
          </w:p>
        </w:tc>
        <w:tc>
          <w:tcPr>
            <w:tcW w:w="2976" w:type="dxa"/>
            <w:vAlign w:val="center"/>
          </w:tcPr>
          <w:p w14:paraId="2C30D147">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1.处2万元以上7.4万元以下的罚款；</w:t>
            </w:r>
          </w:p>
          <w:p w14:paraId="1A3CE6FE">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2.10年内禁止从事药品生产经营活动。</w:t>
            </w:r>
          </w:p>
        </w:tc>
        <w:tc>
          <w:tcPr>
            <w:tcW w:w="2977" w:type="dxa"/>
            <w:vAlign w:val="center"/>
          </w:tcPr>
          <w:p w14:paraId="19AD24F7">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1.处7.4万元以上14.6万元以下的罚款；</w:t>
            </w:r>
          </w:p>
          <w:p w14:paraId="61A6A42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2.10年内禁止从事药品生产经营活动。</w:t>
            </w:r>
          </w:p>
        </w:tc>
        <w:tc>
          <w:tcPr>
            <w:tcW w:w="4577" w:type="dxa"/>
            <w:vAlign w:val="center"/>
          </w:tcPr>
          <w:p w14:paraId="7CD9C4C2">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1.处14.6万元以上20万元以下的罚款；</w:t>
            </w:r>
          </w:p>
          <w:p w14:paraId="348661F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2.10年内禁止从事药品生产经营活动。</w:t>
            </w:r>
          </w:p>
        </w:tc>
      </w:tr>
    </w:tbl>
    <w:p w14:paraId="513DFC46">
      <w:pPr>
        <w:widowControl/>
        <w:tabs>
          <w:tab w:val="left" w:pos="562"/>
          <w:tab w:val="left" w:pos="2172"/>
          <w:tab w:val="left" w:pos="2882"/>
          <w:tab w:val="left" w:pos="4142"/>
          <w:tab w:val="left" w:pos="6134"/>
          <w:tab w:val="left" w:pos="9929"/>
        </w:tabs>
        <w:adjustRightInd w:val="0"/>
        <w:spacing w:line="180" w:lineRule="exact"/>
        <w:jc w:val="both"/>
        <w:rPr>
          <w:rFonts w:ascii="仿宋" w:hAnsi="仿宋" w:eastAsia="仿宋" w:cs="Arial"/>
          <w:color w:val="auto"/>
          <w:szCs w:val="21"/>
        </w:rPr>
      </w:pPr>
    </w:p>
    <w:tbl>
      <w:tblPr>
        <w:tblStyle w:val="6"/>
        <w:tblW w:w="13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39"/>
        <w:gridCol w:w="1275"/>
        <w:gridCol w:w="3668"/>
        <w:gridCol w:w="3872"/>
        <w:gridCol w:w="3873"/>
      </w:tblGrid>
      <w:tr w14:paraId="2FA2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562" w:type="dxa"/>
            <w:vMerge w:val="restart"/>
            <w:vAlign w:val="center"/>
          </w:tcPr>
          <w:p w14:paraId="21598D46">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8</w:t>
            </w:r>
          </w:p>
        </w:tc>
        <w:tc>
          <w:tcPr>
            <w:tcW w:w="1814" w:type="dxa"/>
            <w:gridSpan w:val="2"/>
            <w:vAlign w:val="center"/>
          </w:tcPr>
          <w:p w14:paraId="17BFB6C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413" w:type="dxa"/>
            <w:gridSpan w:val="3"/>
            <w:vAlign w:val="center"/>
          </w:tcPr>
          <w:p w14:paraId="2A0420BD">
            <w:pPr>
              <w:widowControl/>
              <w:adjustRightInd w:val="0"/>
              <w:snapToGrid w:val="0"/>
              <w:ind w:right="210"/>
              <w:jc w:val="both"/>
              <w:rPr>
                <w:rFonts w:ascii="仿宋" w:hAnsi="仿宋" w:eastAsia="仿宋" w:cs="Arial"/>
                <w:color w:val="auto"/>
                <w:szCs w:val="21"/>
              </w:rPr>
            </w:pPr>
            <w:r>
              <w:rPr>
                <w:rFonts w:hint="eastAsia" w:ascii="仿宋" w:hAnsi="仿宋" w:eastAsia="仿宋" w:cs="Arial"/>
                <w:b/>
                <w:bCs/>
                <w:color w:val="auto"/>
                <w:szCs w:val="21"/>
              </w:rPr>
              <w:t>提供虚假的证明、数据、资料、样品或者采取其他手段骗取临床试验许可、药品生产许可、药品经营许可、医疗机构制剂许可或者药品注册等许可的</w:t>
            </w:r>
          </w:p>
        </w:tc>
      </w:tr>
      <w:tr w14:paraId="1F8D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562" w:type="dxa"/>
            <w:vMerge w:val="continue"/>
            <w:vAlign w:val="center"/>
          </w:tcPr>
          <w:p w14:paraId="186609E7">
            <w:pPr>
              <w:widowControl/>
              <w:adjustRightInd w:val="0"/>
              <w:snapToGrid w:val="0"/>
              <w:jc w:val="both"/>
              <w:rPr>
                <w:rFonts w:ascii="仿宋" w:hAnsi="仿宋" w:eastAsia="仿宋" w:cs="Arial"/>
                <w:color w:val="auto"/>
                <w:szCs w:val="21"/>
              </w:rPr>
            </w:pPr>
          </w:p>
        </w:tc>
        <w:tc>
          <w:tcPr>
            <w:tcW w:w="1814" w:type="dxa"/>
            <w:gridSpan w:val="2"/>
            <w:vAlign w:val="center"/>
          </w:tcPr>
          <w:p w14:paraId="5EEEFB1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413" w:type="dxa"/>
            <w:gridSpan w:val="3"/>
            <w:vAlign w:val="center"/>
          </w:tcPr>
          <w:p w14:paraId="1F95E14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第一百二十三条：</w:t>
            </w:r>
            <w:r>
              <w:rPr>
                <w:rFonts w:hint="eastAsia" w:ascii="仿宋" w:hAnsi="仿宋" w:eastAsia="仿宋" w:cs="Arial"/>
                <w:color w:val="auto"/>
                <w:szCs w:val="21"/>
              </w:rPr>
              <w:t>提供虚假的证明、数据、资料、样品或者采取其他手段骗取临床试验许可、药品生产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w:t>
            </w:r>
          </w:p>
          <w:p w14:paraId="621D8CB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《药品注册管理办法》第一百一十一条：</w:t>
            </w:r>
            <w:r>
              <w:rPr>
                <w:rFonts w:hint="eastAsia" w:ascii="仿宋" w:hAnsi="仿宋" w:eastAsia="仿宋" w:cs="Arial"/>
                <w:color w:val="auto"/>
                <w:szCs w:val="21"/>
              </w:rPr>
              <w:t>在药品注册过程中，提供虚假的证明、数据、资料、样品或者采取其他手段骗取临床试验许可或者药品注册等许可的，按照</w:t>
            </w:r>
            <w:r>
              <w:rPr>
                <w:rFonts w:hint="eastAsia" w:ascii="仿宋" w:hAnsi="仿宋" w:eastAsia="仿宋" w:cs="Arial"/>
                <w:color w:val="auto"/>
                <w:szCs w:val="21"/>
                <w:lang w:eastAsia="zh-CN"/>
              </w:rPr>
              <w:t>《中华人民共和国药品管理法》</w:t>
            </w:r>
            <w:r>
              <w:rPr>
                <w:rFonts w:hint="eastAsia" w:ascii="仿宋" w:hAnsi="仿宋" w:eastAsia="仿宋" w:cs="Arial"/>
                <w:color w:val="auto"/>
                <w:szCs w:val="21"/>
              </w:rPr>
              <w:t>第一百二十三条处理。</w:t>
            </w:r>
          </w:p>
        </w:tc>
      </w:tr>
      <w:tr w14:paraId="4082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62" w:type="dxa"/>
            <w:vMerge w:val="continue"/>
            <w:vAlign w:val="center"/>
          </w:tcPr>
          <w:p w14:paraId="54B731F2">
            <w:pPr>
              <w:widowControl/>
              <w:adjustRightInd w:val="0"/>
              <w:snapToGrid w:val="0"/>
              <w:jc w:val="both"/>
              <w:rPr>
                <w:rFonts w:ascii="仿宋" w:hAnsi="仿宋" w:eastAsia="仿宋" w:cs="Arial"/>
                <w:color w:val="auto"/>
                <w:szCs w:val="21"/>
              </w:rPr>
            </w:pPr>
          </w:p>
        </w:tc>
        <w:tc>
          <w:tcPr>
            <w:tcW w:w="1814" w:type="dxa"/>
            <w:gridSpan w:val="2"/>
            <w:vAlign w:val="center"/>
          </w:tcPr>
          <w:p w14:paraId="76D9072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3668" w:type="dxa"/>
            <w:vAlign w:val="center"/>
          </w:tcPr>
          <w:p w14:paraId="03718E67">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从轻</w:t>
            </w:r>
          </w:p>
        </w:tc>
        <w:tc>
          <w:tcPr>
            <w:tcW w:w="3872" w:type="dxa"/>
            <w:vAlign w:val="center"/>
          </w:tcPr>
          <w:p w14:paraId="3124641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873" w:type="dxa"/>
            <w:vAlign w:val="center"/>
          </w:tcPr>
          <w:p w14:paraId="64D0CB36">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从重</w:t>
            </w:r>
          </w:p>
        </w:tc>
      </w:tr>
      <w:tr w14:paraId="7D1E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562" w:type="dxa"/>
            <w:vMerge w:val="continue"/>
            <w:vAlign w:val="center"/>
          </w:tcPr>
          <w:p w14:paraId="7BD5B5FF">
            <w:pPr>
              <w:widowControl/>
              <w:adjustRightInd w:val="0"/>
              <w:snapToGrid w:val="0"/>
              <w:jc w:val="both"/>
              <w:rPr>
                <w:rFonts w:ascii="仿宋" w:hAnsi="仿宋" w:eastAsia="仿宋" w:cs="Arial"/>
                <w:color w:val="auto"/>
                <w:szCs w:val="21"/>
              </w:rPr>
            </w:pPr>
          </w:p>
        </w:tc>
        <w:tc>
          <w:tcPr>
            <w:tcW w:w="1814" w:type="dxa"/>
            <w:gridSpan w:val="2"/>
            <w:vAlign w:val="center"/>
          </w:tcPr>
          <w:p w14:paraId="6FD8F92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3668" w:type="dxa"/>
            <w:vAlign w:val="center"/>
          </w:tcPr>
          <w:p w14:paraId="2489FDC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（一）尚未组织药品临床试验或</w:t>
            </w:r>
            <w:r>
              <w:rPr>
                <w:rFonts w:hint="eastAsia" w:ascii="仿宋" w:hAnsi="仿宋" w:eastAsia="仿宋" w:cs="Arial"/>
                <w:color w:val="auto"/>
                <w:szCs w:val="21"/>
                <w:lang w:eastAsia="zh-CN"/>
              </w:rPr>
              <w:t>尚未</w:t>
            </w:r>
            <w:r>
              <w:rPr>
                <w:rFonts w:hint="eastAsia" w:ascii="仿宋" w:hAnsi="仿宋" w:eastAsia="仿宋" w:cs="Arial"/>
                <w:color w:val="auto"/>
                <w:szCs w:val="21"/>
              </w:rPr>
              <w:t>组织生产、经营、使用药品的；</w:t>
            </w:r>
          </w:p>
          <w:p w14:paraId="751A1FA5">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3872" w:type="dxa"/>
            <w:vAlign w:val="center"/>
          </w:tcPr>
          <w:p w14:paraId="5F080992">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873" w:type="dxa"/>
            <w:vAlign w:val="center"/>
          </w:tcPr>
          <w:p w14:paraId="526986E6">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6A17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562" w:type="dxa"/>
            <w:vMerge w:val="continue"/>
            <w:vAlign w:val="center"/>
          </w:tcPr>
          <w:p w14:paraId="099A4846">
            <w:pPr>
              <w:widowControl/>
              <w:adjustRightInd w:val="0"/>
              <w:snapToGrid w:val="0"/>
              <w:jc w:val="both"/>
              <w:rPr>
                <w:rFonts w:ascii="仿宋" w:hAnsi="仿宋" w:eastAsia="仿宋" w:cs="Arial"/>
                <w:color w:val="auto"/>
                <w:szCs w:val="21"/>
              </w:rPr>
            </w:pPr>
          </w:p>
        </w:tc>
        <w:tc>
          <w:tcPr>
            <w:tcW w:w="539" w:type="dxa"/>
            <w:vMerge w:val="restart"/>
            <w:vAlign w:val="center"/>
          </w:tcPr>
          <w:p w14:paraId="741D2B1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w:t>
            </w:r>
          </w:p>
          <w:p w14:paraId="646C8FB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量</w:t>
            </w:r>
          </w:p>
          <w:p w14:paraId="2D4AE0D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w:t>
            </w:r>
          </w:p>
          <w:p w14:paraId="7C51874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准</w:t>
            </w:r>
          </w:p>
        </w:tc>
        <w:tc>
          <w:tcPr>
            <w:tcW w:w="1275" w:type="dxa"/>
            <w:vAlign w:val="center"/>
          </w:tcPr>
          <w:p w14:paraId="0FB5947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一般情形</w:t>
            </w:r>
          </w:p>
        </w:tc>
        <w:tc>
          <w:tcPr>
            <w:tcW w:w="3668" w:type="dxa"/>
            <w:vAlign w:val="center"/>
          </w:tcPr>
          <w:p w14:paraId="39D09C9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撤销相关许可；</w:t>
            </w:r>
          </w:p>
          <w:p w14:paraId="56B79A8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10年内不受理其相应申请；</w:t>
            </w:r>
          </w:p>
          <w:p w14:paraId="42375F3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并处50万元以上185万元以下的罚款。</w:t>
            </w:r>
          </w:p>
        </w:tc>
        <w:tc>
          <w:tcPr>
            <w:tcW w:w="3872" w:type="dxa"/>
            <w:vAlign w:val="center"/>
          </w:tcPr>
          <w:p w14:paraId="2D1AE63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撤销相关许可；</w:t>
            </w:r>
          </w:p>
          <w:p w14:paraId="7BB01DC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10年内不受理其相应申请；</w:t>
            </w:r>
          </w:p>
          <w:p w14:paraId="159A16D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并处185万元以上365万元以下的罚款。</w:t>
            </w:r>
          </w:p>
        </w:tc>
        <w:tc>
          <w:tcPr>
            <w:tcW w:w="3873" w:type="dxa"/>
            <w:vAlign w:val="center"/>
          </w:tcPr>
          <w:p w14:paraId="1E8BAAD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撤销相关许可；</w:t>
            </w:r>
          </w:p>
          <w:p w14:paraId="7B9B9DB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10年内不受理其相应申请；</w:t>
            </w:r>
          </w:p>
          <w:p w14:paraId="27F6BD9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并处365万元以上500万元以下的罚款。</w:t>
            </w:r>
          </w:p>
        </w:tc>
      </w:tr>
      <w:tr w14:paraId="6DCE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4" w:hRule="atLeast"/>
          <w:jc w:val="center"/>
        </w:trPr>
        <w:tc>
          <w:tcPr>
            <w:tcW w:w="562" w:type="dxa"/>
            <w:vMerge w:val="continue"/>
            <w:vAlign w:val="center"/>
          </w:tcPr>
          <w:p w14:paraId="7E330370">
            <w:pPr>
              <w:widowControl/>
              <w:adjustRightInd w:val="0"/>
              <w:snapToGrid w:val="0"/>
              <w:jc w:val="both"/>
              <w:rPr>
                <w:rFonts w:ascii="仿宋" w:hAnsi="仿宋" w:eastAsia="仿宋" w:cs="Arial"/>
                <w:color w:val="auto"/>
                <w:szCs w:val="21"/>
              </w:rPr>
            </w:pPr>
          </w:p>
        </w:tc>
        <w:tc>
          <w:tcPr>
            <w:tcW w:w="539" w:type="dxa"/>
            <w:vMerge w:val="continue"/>
            <w:vAlign w:val="center"/>
          </w:tcPr>
          <w:p w14:paraId="1653EF9D">
            <w:pPr>
              <w:widowControl/>
              <w:adjustRightInd w:val="0"/>
              <w:snapToGrid w:val="0"/>
              <w:jc w:val="both"/>
              <w:rPr>
                <w:rFonts w:ascii="仿宋" w:hAnsi="仿宋" w:eastAsia="仿宋" w:cs="Arial"/>
                <w:color w:val="auto"/>
                <w:szCs w:val="21"/>
              </w:rPr>
            </w:pPr>
          </w:p>
        </w:tc>
        <w:tc>
          <w:tcPr>
            <w:tcW w:w="1275" w:type="dxa"/>
            <w:vAlign w:val="center"/>
          </w:tcPr>
          <w:p w14:paraId="38BDB9F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情节严重的，对责任人的处罚</w:t>
            </w:r>
          </w:p>
        </w:tc>
        <w:tc>
          <w:tcPr>
            <w:tcW w:w="3668" w:type="dxa"/>
            <w:vAlign w:val="center"/>
          </w:tcPr>
          <w:p w14:paraId="64CE9C4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处2万元以上7.4万元以下的罚款；</w:t>
            </w:r>
          </w:p>
          <w:p w14:paraId="01582E3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10年内禁止从事药品生产经营活动。</w:t>
            </w:r>
          </w:p>
        </w:tc>
        <w:tc>
          <w:tcPr>
            <w:tcW w:w="3872" w:type="dxa"/>
            <w:vAlign w:val="center"/>
          </w:tcPr>
          <w:p w14:paraId="4B2050F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处7.4万元以上14.6万元以下的罚款。</w:t>
            </w:r>
          </w:p>
          <w:p w14:paraId="63FCF8D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10年内禁止从事药品生产经营活动。</w:t>
            </w:r>
          </w:p>
        </w:tc>
        <w:tc>
          <w:tcPr>
            <w:tcW w:w="3873" w:type="dxa"/>
            <w:vAlign w:val="center"/>
          </w:tcPr>
          <w:p w14:paraId="2515356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处14.6万元以上20万元以下的罚款。</w:t>
            </w:r>
          </w:p>
          <w:p w14:paraId="463790E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10年内禁止从事药品生产经营活动。</w:t>
            </w:r>
          </w:p>
        </w:tc>
      </w:tr>
    </w:tbl>
    <w:p w14:paraId="6473B088">
      <w:pPr>
        <w:widowControl/>
        <w:tabs>
          <w:tab w:val="left" w:pos="562"/>
          <w:tab w:val="left" w:pos="1486"/>
          <w:tab w:val="left" w:pos="2172"/>
          <w:tab w:val="left" w:pos="5075"/>
          <w:tab w:val="left" w:pos="8857"/>
        </w:tabs>
        <w:adjustRightInd w:val="0"/>
        <w:snapToGrid w:val="0"/>
        <w:jc w:val="both"/>
        <w:rPr>
          <w:rFonts w:ascii="仿宋" w:hAnsi="仿宋" w:eastAsia="仿宋" w:cs="Arial"/>
          <w:b/>
          <w:bCs/>
          <w:color w:val="auto"/>
          <w:szCs w:val="21"/>
        </w:rPr>
      </w:pPr>
    </w:p>
    <w:tbl>
      <w:tblPr>
        <w:tblStyle w:val="6"/>
        <w:tblW w:w="13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656"/>
        <w:gridCol w:w="427"/>
        <w:gridCol w:w="1043"/>
        <w:gridCol w:w="2805"/>
        <w:gridCol w:w="2806"/>
        <w:gridCol w:w="2805"/>
        <w:gridCol w:w="2806"/>
      </w:tblGrid>
      <w:tr w14:paraId="4843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34" w:type="dxa"/>
            <w:vMerge w:val="restart"/>
            <w:vAlign w:val="center"/>
          </w:tcPr>
          <w:p w14:paraId="44392AAB">
            <w:pPr>
              <w:widowControl/>
              <w:adjustRightInd w:val="0"/>
              <w:snapToGrid w:val="0"/>
              <w:jc w:val="center"/>
              <w:rPr>
                <w:rFonts w:hint="eastAsia" w:ascii="仿宋" w:hAnsi="仿宋" w:eastAsia="仿宋" w:cs="Arial"/>
                <w:b/>
                <w:color w:val="auto"/>
                <w:szCs w:val="21"/>
              </w:rPr>
            </w:pPr>
            <w:r>
              <w:rPr>
                <w:rFonts w:hint="eastAsia" w:ascii="仿宋" w:hAnsi="仿宋" w:eastAsia="仿宋" w:cs="Arial"/>
                <w:b/>
                <w:color w:val="auto"/>
                <w:szCs w:val="21"/>
              </w:rPr>
              <w:t>9</w:t>
            </w:r>
          </w:p>
          <w:p w14:paraId="4AA6CA1C">
            <w:pPr>
              <w:widowControl/>
              <w:adjustRightInd w:val="0"/>
              <w:snapToGrid w:val="0"/>
              <w:jc w:val="both"/>
              <w:rPr>
                <w:rFonts w:ascii="仿宋" w:hAnsi="仿宋" w:eastAsia="仿宋" w:cs="Arial"/>
                <w:b/>
                <w:color w:val="auto"/>
                <w:szCs w:val="21"/>
              </w:rPr>
            </w:pPr>
          </w:p>
        </w:tc>
        <w:tc>
          <w:tcPr>
            <w:tcW w:w="2126" w:type="dxa"/>
            <w:gridSpan w:val="3"/>
            <w:vAlign w:val="center"/>
          </w:tcPr>
          <w:p w14:paraId="370D42C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222" w:type="dxa"/>
            <w:gridSpan w:val="4"/>
            <w:vAlign w:val="center"/>
          </w:tcPr>
          <w:p w14:paraId="396F3BA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违反</w:t>
            </w: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第一百二十四条的行为</w:t>
            </w:r>
          </w:p>
        </w:tc>
      </w:tr>
      <w:tr w14:paraId="478F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6" w:hRule="atLeast"/>
          <w:jc w:val="center"/>
        </w:trPr>
        <w:tc>
          <w:tcPr>
            <w:tcW w:w="534" w:type="dxa"/>
            <w:vMerge w:val="continue"/>
            <w:vAlign w:val="center"/>
          </w:tcPr>
          <w:p w14:paraId="003A39F3">
            <w:pPr>
              <w:widowControl/>
              <w:adjustRightInd w:val="0"/>
              <w:snapToGrid w:val="0"/>
              <w:jc w:val="both"/>
              <w:rPr>
                <w:rFonts w:ascii="仿宋" w:hAnsi="仿宋" w:eastAsia="仿宋" w:cs="Arial"/>
                <w:color w:val="auto"/>
                <w:szCs w:val="21"/>
              </w:rPr>
            </w:pPr>
          </w:p>
        </w:tc>
        <w:tc>
          <w:tcPr>
            <w:tcW w:w="2126" w:type="dxa"/>
            <w:gridSpan w:val="3"/>
            <w:vAlign w:val="center"/>
          </w:tcPr>
          <w:p w14:paraId="0BC2E01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222" w:type="dxa"/>
            <w:gridSpan w:val="4"/>
            <w:vAlign w:val="center"/>
          </w:tcPr>
          <w:p w14:paraId="418E2474">
            <w:pPr>
              <w:keepNext w:val="0"/>
              <w:keepLines w:val="0"/>
              <w:pageBreakBefore w:val="0"/>
              <w:widowControl/>
              <w:kinsoku/>
              <w:wordWrap/>
              <w:overflowPunct/>
              <w:topLinePunct w:val="0"/>
              <w:autoSpaceDE/>
              <w:autoSpaceDN/>
              <w:bidi w:val="0"/>
              <w:adjustRightInd w:val="0"/>
              <w:snapToGrid w:val="0"/>
              <w:spacing w:line="200" w:lineRule="exact"/>
              <w:jc w:val="both"/>
              <w:textAlignment w:val="auto"/>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第一百二十四条第一款：</w:t>
            </w:r>
            <w:r>
              <w:rPr>
                <w:rFonts w:hint="eastAsia" w:ascii="仿宋" w:hAnsi="仿宋" w:eastAsia="仿宋" w:cs="Arial"/>
                <w:color w:val="auto"/>
                <w:szCs w:val="21"/>
              </w:rPr>
              <w:t>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药品生产经营活动，并可以由公安机关处五日以上十五日以下的拘留：</w:t>
            </w:r>
          </w:p>
          <w:p w14:paraId="1377F2C4">
            <w:pPr>
              <w:keepNext w:val="0"/>
              <w:keepLines w:val="0"/>
              <w:pageBreakBefore w:val="0"/>
              <w:widowControl/>
              <w:kinsoku/>
              <w:wordWrap/>
              <w:overflowPunct/>
              <w:topLinePunct w:val="0"/>
              <w:autoSpaceDE/>
              <w:autoSpaceDN/>
              <w:bidi w:val="0"/>
              <w:adjustRightInd w:val="0"/>
              <w:snapToGrid w:val="0"/>
              <w:spacing w:line="200" w:lineRule="exact"/>
              <w:jc w:val="both"/>
              <w:textAlignment w:val="auto"/>
              <w:rPr>
                <w:rFonts w:ascii="仿宋" w:hAnsi="仿宋" w:eastAsia="仿宋" w:cs="Arial"/>
                <w:color w:val="auto"/>
                <w:szCs w:val="21"/>
              </w:rPr>
            </w:pPr>
            <w:r>
              <w:rPr>
                <w:rFonts w:hint="eastAsia" w:ascii="仿宋" w:hAnsi="仿宋" w:eastAsia="仿宋" w:cs="Arial"/>
                <w:color w:val="auto"/>
                <w:szCs w:val="21"/>
              </w:rPr>
              <w:t>（一）未取得药品批准证明文件生产、进口药品；</w:t>
            </w:r>
          </w:p>
          <w:p w14:paraId="528ECD5E">
            <w:pPr>
              <w:keepNext w:val="0"/>
              <w:keepLines w:val="0"/>
              <w:pageBreakBefore w:val="0"/>
              <w:widowControl/>
              <w:kinsoku/>
              <w:wordWrap/>
              <w:overflowPunct/>
              <w:topLinePunct w:val="0"/>
              <w:autoSpaceDE/>
              <w:autoSpaceDN/>
              <w:bidi w:val="0"/>
              <w:adjustRightInd w:val="0"/>
              <w:snapToGrid w:val="0"/>
              <w:spacing w:line="200" w:lineRule="exact"/>
              <w:jc w:val="both"/>
              <w:textAlignment w:val="auto"/>
              <w:rPr>
                <w:rFonts w:ascii="仿宋" w:hAnsi="仿宋" w:eastAsia="仿宋" w:cs="Arial"/>
                <w:color w:val="auto"/>
                <w:szCs w:val="21"/>
              </w:rPr>
            </w:pPr>
            <w:r>
              <w:rPr>
                <w:rFonts w:hint="eastAsia" w:ascii="仿宋" w:hAnsi="仿宋" w:eastAsia="仿宋" w:cs="Arial"/>
                <w:color w:val="auto"/>
                <w:szCs w:val="21"/>
              </w:rPr>
              <w:t>（二）使用采取欺骗手段取得的药品批准证明文件生产、进口药品；</w:t>
            </w:r>
          </w:p>
          <w:p w14:paraId="4D0E619E">
            <w:pPr>
              <w:keepNext w:val="0"/>
              <w:keepLines w:val="0"/>
              <w:pageBreakBefore w:val="0"/>
              <w:widowControl/>
              <w:kinsoku/>
              <w:wordWrap/>
              <w:overflowPunct/>
              <w:topLinePunct w:val="0"/>
              <w:autoSpaceDE/>
              <w:autoSpaceDN/>
              <w:bidi w:val="0"/>
              <w:adjustRightInd w:val="0"/>
              <w:snapToGrid w:val="0"/>
              <w:spacing w:line="200" w:lineRule="exact"/>
              <w:jc w:val="both"/>
              <w:textAlignment w:val="auto"/>
              <w:rPr>
                <w:rFonts w:ascii="仿宋" w:hAnsi="仿宋" w:eastAsia="仿宋" w:cs="Arial"/>
                <w:color w:val="auto"/>
                <w:szCs w:val="21"/>
              </w:rPr>
            </w:pPr>
            <w:r>
              <w:rPr>
                <w:rFonts w:hint="eastAsia" w:ascii="仿宋" w:hAnsi="仿宋" w:eastAsia="仿宋" w:cs="Arial"/>
                <w:color w:val="auto"/>
                <w:szCs w:val="21"/>
              </w:rPr>
              <w:t>（三）使用未经审评审批的原料药生产药品；</w:t>
            </w:r>
          </w:p>
          <w:p w14:paraId="05DB7A96">
            <w:pPr>
              <w:keepNext w:val="0"/>
              <w:keepLines w:val="0"/>
              <w:pageBreakBefore w:val="0"/>
              <w:widowControl/>
              <w:kinsoku/>
              <w:wordWrap/>
              <w:overflowPunct/>
              <w:topLinePunct w:val="0"/>
              <w:autoSpaceDE/>
              <w:autoSpaceDN/>
              <w:bidi w:val="0"/>
              <w:adjustRightInd w:val="0"/>
              <w:snapToGrid w:val="0"/>
              <w:spacing w:line="200" w:lineRule="exact"/>
              <w:jc w:val="both"/>
              <w:textAlignment w:val="auto"/>
              <w:rPr>
                <w:rFonts w:ascii="仿宋" w:hAnsi="仿宋" w:eastAsia="仿宋" w:cs="Arial"/>
                <w:color w:val="auto"/>
                <w:szCs w:val="21"/>
              </w:rPr>
            </w:pPr>
            <w:r>
              <w:rPr>
                <w:rFonts w:hint="eastAsia" w:ascii="仿宋" w:hAnsi="仿宋" w:eastAsia="仿宋" w:cs="Arial"/>
                <w:color w:val="auto"/>
                <w:szCs w:val="21"/>
              </w:rPr>
              <w:t>（四）应当检验而未经检验即销售药品；</w:t>
            </w:r>
          </w:p>
          <w:p w14:paraId="106DA064">
            <w:pPr>
              <w:keepNext w:val="0"/>
              <w:keepLines w:val="0"/>
              <w:pageBreakBefore w:val="0"/>
              <w:widowControl/>
              <w:kinsoku/>
              <w:wordWrap/>
              <w:overflowPunct/>
              <w:topLinePunct w:val="0"/>
              <w:autoSpaceDE/>
              <w:autoSpaceDN/>
              <w:bidi w:val="0"/>
              <w:adjustRightInd w:val="0"/>
              <w:snapToGrid w:val="0"/>
              <w:spacing w:line="200" w:lineRule="exact"/>
              <w:jc w:val="both"/>
              <w:textAlignment w:val="auto"/>
              <w:rPr>
                <w:rFonts w:ascii="仿宋" w:hAnsi="仿宋" w:eastAsia="仿宋" w:cs="Arial"/>
                <w:color w:val="auto"/>
                <w:szCs w:val="21"/>
              </w:rPr>
            </w:pPr>
            <w:r>
              <w:rPr>
                <w:rFonts w:hint="eastAsia" w:ascii="仿宋" w:hAnsi="仿宋" w:eastAsia="仿宋" w:cs="Arial"/>
                <w:color w:val="auto"/>
                <w:szCs w:val="21"/>
              </w:rPr>
              <w:t>（五）生产、销售国务院药品监督管理部门禁止使用的药品；</w:t>
            </w:r>
          </w:p>
          <w:p w14:paraId="6B7A5434">
            <w:pPr>
              <w:keepNext w:val="0"/>
              <w:keepLines w:val="0"/>
              <w:pageBreakBefore w:val="0"/>
              <w:widowControl/>
              <w:kinsoku/>
              <w:wordWrap/>
              <w:overflowPunct/>
              <w:topLinePunct w:val="0"/>
              <w:autoSpaceDE/>
              <w:autoSpaceDN/>
              <w:bidi w:val="0"/>
              <w:adjustRightInd w:val="0"/>
              <w:snapToGrid w:val="0"/>
              <w:spacing w:line="200" w:lineRule="exact"/>
              <w:jc w:val="both"/>
              <w:textAlignment w:val="auto"/>
              <w:rPr>
                <w:rFonts w:ascii="仿宋" w:hAnsi="仿宋" w:eastAsia="仿宋" w:cs="Arial"/>
                <w:color w:val="auto"/>
                <w:szCs w:val="21"/>
              </w:rPr>
            </w:pPr>
            <w:r>
              <w:rPr>
                <w:rFonts w:hint="eastAsia" w:ascii="仿宋" w:hAnsi="仿宋" w:eastAsia="仿宋" w:cs="Arial"/>
                <w:color w:val="auto"/>
                <w:szCs w:val="21"/>
              </w:rPr>
              <w:t>（六）编造生产、检验记录；</w:t>
            </w:r>
          </w:p>
          <w:p w14:paraId="4CA56E88">
            <w:pPr>
              <w:keepNext w:val="0"/>
              <w:keepLines w:val="0"/>
              <w:pageBreakBefore w:val="0"/>
              <w:widowControl/>
              <w:kinsoku/>
              <w:wordWrap/>
              <w:overflowPunct/>
              <w:topLinePunct w:val="0"/>
              <w:autoSpaceDE/>
              <w:autoSpaceDN/>
              <w:bidi w:val="0"/>
              <w:adjustRightInd w:val="0"/>
              <w:snapToGrid w:val="0"/>
              <w:spacing w:line="200" w:lineRule="exact"/>
              <w:jc w:val="both"/>
              <w:textAlignment w:val="auto"/>
              <w:rPr>
                <w:rFonts w:ascii="仿宋" w:hAnsi="仿宋" w:eastAsia="仿宋" w:cs="Arial"/>
                <w:color w:val="auto"/>
                <w:szCs w:val="21"/>
              </w:rPr>
            </w:pPr>
            <w:r>
              <w:rPr>
                <w:rFonts w:hint="eastAsia" w:ascii="仿宋" w:hAnsi="仿宋" w:eastAsia="仿宋" w:cs="Arial"/>
                <w:color w:val="auto"/>
                <w:szCs w:val="21"/>
              </w:rPr>
              <w:t>（七）未经批准在药品生产过程中进行重大变更。</w:t>
            </w:r>
          </w:p>
        </w:tc>
      </w:tr>
      <w:tr w14:paraId="0ABA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34" w:type="dxa"/>
            <w:vMerge w:val="continue"/>
            <w:vAlign w:val="center"/>
          </w:tcPr>
          <w:p w14:paraId="34FCD04D">
            <w:pPr>
              <w:widowControl/>
              <w:adjustRightInd w:val="0"/>
              <w:snapToGrid w:val="0"/>
              <w:jc w:val="both"/>
              <w:rPr>
                <w:rFonts w:ascii="仿宋" w:hAnsi="仿宋" w:eastAsia="仿宋" w:cs="Arial"/>
                <w:color w:val="auto"/>
                <w:szCs w:val="21"/>
              </w:rPr>
            </w:pPr>
          </w:p>
        </w:tc>
        <w:tc>
          <w:tcPr>
            <w:tcW w:w="2126" w:type="dxa"/>
            <w:gridSpan w:val="3"/>
            <w:vAlign w:val="center"/>
          </w:tcPr>
          <w:p w14:paraId="66C083A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805" w:type="dxa"/>
            <w:vAlign w:val="center"/>
          </w:tcPr>
          <w:p w14:paraId="5073C62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806" w:type="dxa"/>
            <w:vAlign w:val="center"/>
          </w:tcPr>
          <w:p w14:paraId="134415F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805" w:type="dxa"/>
            <w:vAlign w:val="center"/>
          </w:tcPr>
          <w:p w14:paraId="470A4F1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2806" w:type="dxa"/>
            <w:vAlign w:val="center"/>
          </w:tcPr>
          <w:p w14:paraId="0D6C7C2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7212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jc w:val="center"/>
        </w:trPr>
        <w:tc>
          <w:tcPr>
            <w:tcW w:w="534" w:type="dxa"/>
            <w:vMerge w:val="continue"/>
            <w:vAlign w:val="center"/>
          </w:tcPr>
          <w:p w14:paraId="13C1409C">
            <w:pPr>
              <w:widowControl/>
              <w:adjustRightInd w:val="0"/>
              <w:snapToGrid w:val="0"/>
              <w:jc w:val="both"/>
              <w:rPr>
                <w:rFonts w:ascii="仿宋" w:hAnsi="仿宋" w:eastAsia="仿宋" w:cs="Arial"/>
                <w:color w:val="auto"/>
                <w:szCs w:val="21"/>
              </w:rPr>
            </w:pPr>
          </w:p>
        </w:tc>
        <w:tc>
          <w:tcPr>
            <w:tcW w:w="2126" w:type="dxa"/>
            <w:gridSpan w:val="3"/>
            <w:vAlign w:val="center"/>
          </w:tcPr>
          <w:p w14:paraId="5E83C6B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2805" w:type="dxa"/>
            <w:vAlign w:val="center"/>
          </w:tcPr>
          <w:p w14:paraId="0864CCD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806" w:type="dxa"/>
            <w:vAlign w:val="center"/>
          </w:tcPr>
          <w:p w14:paraId="5905886B">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（一）涉案药品尚未生产或销售的；</w:t>
            </w:r>
          </w:p>
          <w:p w14:paraId="7F8131E3">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805" w:type="dxa"/>
            <w:vAlign w:val="center"/>
          </w:tcPr>
          <w:p w14:paraId="6182D5CD">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p w14:paraId="712810E4">
            <w:pPr>
              <w:widowControl/>
              <w:adjustRightInd w:val="0"/>
              <w:snapToGrid w:val="0"/>
              <w:spacing w:line="240" w:lineRule="exact"/>
              <w:jc w:val="both"/>
              <w:rPr>
                <w:rFonts w:ascii="仿宋" w:hAnsi="仿宋" w:eastAsia="仿宋" w:cs="Arial"/>
                <w:color w:val="auto"/>
                <w:szCs w:val="21"/>
              </w:rPr>
            </w:pPr>
          </w:p>
        </w:tc>
        <w:tc>
          <w:tcPr>
            <w:tcW w:w="2806" w:type="dxa"/>
            <w:vAlign w:val="center"/>
          </w:tcPr>
          <w:p w14:paraId="318BC781">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18C7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8" w:hRule="atLeast"/>
          <w:jc w:val="center"/>
        </w:trPr>
        <w:tc>
          <w:tcPr>
            <w:tcW w:w="534" w:type="dxa"/>
            <w:vMerge w:val="continue"/>
            <w:vAlign w:val="center"/>
          </w:tcPr>
          <w:p w14:paraId="74DF01E1">
            <w:pPr>
              <w:widowControl/>
              <w:adjustRightInd w:val="0"/>
              <w:snapToGrid w:val="0"/>
              <w:jc w:val="both"/>
              <w:rPr>
                <w:rFonts w:ascii="仿宋" w:hAnsi="仿宋" w:eastAsia="仿宋" w:cs="Arial"/>
                <w:b/>
                <w:color w:val="auto"/>
                <w:szCs w:val="21"/>
              </w:rPr>
            </w:pPr>
          </w:p>
        </w:tc>
        <w:tc>
          <w:tcPr>
            <w:tcW w:w="656" w:type="dxa"/>
            <w:vMerge w:val="restart"/>
            <w:vAlign w:val="center"/>
          </w:tcPr>
          <w:p w14:paraId="2958206D">
            <w:pPr>
              <w:widowControl/>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裁量基准</w:t>
            </w:r>
          </w:p>
        </w:tc>
        <w:tc>
          <w:tcPr>
            <w:tcW w:w="1470" w:type="dxa"/>
            <w:gridSpan w:val="2"/>
            <w:vAlign w:val="center"/>
          </w:tcPr>
          <w:p w14:paraId="25063BA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一般情形</w:t>
            </w:r>
          </w:p>
        </w:tc>
        <w:tc>
          <w:tcPr>
            <w:tcW w:w="2805" w:type="dxa"/>
            <w:vAlign w:val="center"/>
          </w:tcPr>
          <w:p w14:paraId="6626D6E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没收违法生产、进口、销售的药品和违法所得以及专门用于违法生产的原料、辅料、包装材料和生产设备；</w:t>
            </w:r>
          </w:p>
          <w:p w14:paraId="12B0AA65">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14:paraId="54A22195">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b/>
                <w:bCs/>
                <w:color w:val="auto"/>
                <w:szCs w:val="21"/>
              </w:rPr>
              <w:t>3</w:t>
            </w:r>
            <w:r>
              <w:rPr>
                <w:rFonts w:hint="eastAsia" w:ascii="仿宋" w:hAnsi="仿宋" w:eastAsia="仿宋" w:cs="Arial"/>
                <w:color w:val="auto"/>
                <w:szCs w:val="21"/>
              </w:rPr>
              <w:t>.并处违法生产、进口、销售的药品货值金额1.5倍以上15倍以下的罚款</w:t>
            </w:r>
            <w:r>
              <w:rPr>
                <w:rFonts w:hint="eastAsia" w:ascii="仿宋" w:hAnsi="仿宋" w:eastAsia="仿宋" w:cs="Arial"/>
                <w:color w:val="auto"/>
                <w:szCs w:val="21"/>
                <w:lang w:eastAsia="zh-CN"/>
              </w:rPr>
              <w:t>；</w:t>
            </w:r>
          </w:p>
          <w:p w14:paraId="3685DACA">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货值金额不足十万元的，按十万元计算</w:t>
            </w:r>
            <w:r>
              <w:rPr>
                <w:rFonts w:hint="eastAsia" w:ascii="仿宋" w:hAnsi="仿宋" w:eastAsia="仿宋" w:cs="Arial"/>
                <w:color w:val="auto"/>
                <w:szCs w:val="21"/>
                <w:lang w:eastAsia="zh-CN"/>
              </w:rPr>
              <w:t>。</w:t>
            </w:r>
          </w:p>
        </w:tc>
        <w:tc>
          <w:tcPr>
            <w:tcW w:w="2806" w:type="dxa"/>
            <w:vAlign w:val="center"/>
          </w:tcPr>
          <w:p w14:paraId="221E38C4">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1.没收违法生产、进口、销售的药品和违法所得以及专门用于违法生产的原料、辅料、包装材料和生产设备；</w:t>
            </w:r>
          </w:p>
          <w:p w14:paraId="0C56463B">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2.责令停产停业整顿；</w:t>
            </w:r>
          </w:p>
          <w:p w14:paraId="2157CF33">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rPr>
              <w:t>3.并处违法生产、进口、销售的药品货值金额15倍以上19.5倍以下的罚款</w:t>
            </w:r>
            <w:r>
              <w:rPr>
                <w:rFonts w:hint="eastAsia" w:ascii="仿宋" w:hAnsi="仿宋" w:eastAsia="仿宋" w:cs="Arial"/>
                <w:color w:val="auto"/>
                <w:szCs w:val="21"/>
                <w:lang w:eastAsia="zh-CN"/>
              </w:rPr>
              <w:t>；</w:t>
            </w:r>
          </w:p>
          <w:p w14:paraId="07AEEED8">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货值金额不足十万元的，按十万元计算</w:t>
            </w:r>
            <w:r>
              <w:rPr>
                <w:rFonts w:hint="eastAsia" w:ascii="仿宋" w:hAnsi="仿宋" w:eastAsia="仿宋" w:cs="Arial"/>
                <w:color w:val="auto"/>
                <w:szCs w:val="21"/>
                <w:lang w:eastAsia="zh-CN"/>
              </w:rPr>
              <w:t>。</w:t>
            </w:r>
          </w:p>
        </w:tc>
        <w:tc>
          <w:tcPr>
            <w:tcW w:w="2805" w:type="dxa"/>
            <w:vAlign w:val="center"/>
          </w:tcPr>
          <w:p w14:paraId="6B80F315">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1.没收违法生产、进口、销售的药品和违法所得以及专门用于违法生产的原料、辅料、包装材料和生产设备；</w:t>
            </w:r>
          </w:p>
          <w:p w14:paraId="51036E25">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2.责令停产停业整顿；</w:t>
            </w:r>
          </w:p>
          <w:p w14:paraId="757F65E6">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rPr>
              <w:t>3.并处违法生产、进口、销售的药品货值金额19.5倍以上25.5倍以下的罚款</w:t>
            </w:r>
            <w:r>
              <w:rPr>
                <w:rFonts w:hint="eastAsia" w:ascii="仿宋" w:hAnsi="仿宋" w:eastAsia="仿宋" w:cs="Arial"/>
                <w:color w:val="auto"/>
                <w:szCs w:val="21"/>
                <w:lang w:eastAsia="zh-CN"/>
              </w:rPr>
              <w:t>；</w:t>
            </w:r>
          </w:p>
          <w:p w14:paraId="6321264B">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货值金额不足十万元的，按十万元计算</w:t>
            </w:r>
            <w:r>
              <w:rPr>
                <w:rFonts w:hint="eastAsia" w:ascii="仿宋" w:hAnsi="仿宋" w:eastAsia="仿宋" w:cs="Arial"/>
                <w:color w:val="auto"/>
                <w:szCs w:val="21"/>
                <w:lang w:eastAsia="zh-CN"/>
              </w:rPr>
              <w:t>。</w:t>
            </w:r>
          </w:p>
        </w:tc>
        <w:tc>
          <w:tcPr>
            <w:tcW w:w="2806" w:type="dxa"/>
            <w:vAlign w:val="center"/>
          </w:tcPr>
          <w:p w14:paraId="742B951D">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1.没收违法生产、进口、销售的药品和违法所得以及专门用于违法生产的原料、辅料、包装材料和生产设备；</w:t>
            </w:r>
          </w:p>
          <w:p w14:paraId="4D79A796">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2.责令停产停业整顿；</w:t>
            </w:r>
          </w:p>
          <w:p w14:paraId="03DA9B9B">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rPr>
              <w:t>3.并处违法生产、进口、销售的药品货值金额25.5倍以上30倍以下的罚款</w:t>
            </w:r>
            <w:r>
              <w:rPr>
                <w:rFonts w:hint="eastAsia" w:ascii="仿宋" w:hAnsi="仿宋" w:eastAsia="仿宋" w:cs="Arial"/>
                <w:color w:val="auto"/>
                <w:szCs w:val="21"/>
                <w:lang w:eastAsia="zh-CN"/>
              </w:rPr>
              <w:t>；</w:t>
            </w:r>
          </w:p>
          <w:p w14:paraId="55ECA30C">
            <w:pPr>
              <w:widowControl/>
              <w:adjustRightInd w:val="0"/>
              <w:snapToGrid w:val="0"/>
              <w:spacing w:line="24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货值金额不足十万元的，按十万元计算</w:t>
            </w:r>
            <w:r>
              <w:rPr>
                <w:rFonts w:hint="eastAsia" w:ascii="仿宋" w:hAnsi="仿宋" w:eastAsia="仿宋" w:cs="Arial"/>
                <w:color w:val="auto"/>
                <w:szCs w:val="21"/>
                <w:lang w:eastAsia="zh-CN"/>
              </w:rPr>
              <w:t>。</w:t>
            </w:r>
          </w:p>
        </w:tc>
      </w:tr>
      <w:tr w14:paraId="1A67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5" w:hRule="atLeast"/>
          <w:jc w:val="center"/>
        </w:trPr>
        <w:tc>
          <w:tcPr>
            <w:tcW w:w="534" w:type="dxa"/>
            <w:vMerge w:val="continue"/>
            <w:vAlign w:val="center"/>
          </w:tcPr>
          <w:p w14:paraId="005C5EA8">
            <w:pPr>
              <w:widowControl/>
              <w:adjustRightInd w:val="0"/>
              <w:snapToGrid w:val="0"/>
              <w:jc w:val="both"/>
              <w:rPr>
                <w:rFonts w:ascii="仿宋" w:hAnsi="仿宋" w:eastAsia="仿宋" w:cs="Arial"/>
                <w:color w:val="auto"/>
                <w:szCs w:val="21"/>
              </w:rPr>
            </w:pPr>
          </w:p>
        </w:tc>
        <w:tc>
          <w:tcPr>
            <w:tcW w:w="656" w:type="dxa"/>
            <w:vMerge w:val="continue"/>
            <w:vAlign w:val="center"/>
          </w:tcPr>
          <w:p w14:paraId="77494513">
            <w:pPr>
              <w:widowControl/>
              <w:adjustRightInd w:val="0"/>
              <w:snapToGrid w:val="0"/>
              <w:jc w:val="both"/>
              <w:rPr>
                <w:rFonts w:ascii="仿宋" w:hAnsi="仿宋" w:eastAsia="仿宋" w:cs="Arial"/>
                <w:color w:val="auto"/>
                <w:szCs w:val="21"/>
              </w:rPr>
            </w:pPr>
          </w:p>
        </w:tc>
        <w:tc>
          <w:tcPr>
            <w:tcW w:w="427" w:type="dxa"/>
            <w:vMerge w:val="restart"/>
            <w:vAlign w:val="center"/>
          </w:tcPr>
          <w:p w14:paraId="6B8132ED">
            <w:pPr>
              <w:widowControl/>
              <w:adjustRightInd w:val="0"/>
              <w:snapToGrid w:val="0"/>
              <w:jc w:val="both"/>
              <w:rPr>
                <w:rFonts w:hint="eastAsia" w:ascii="仿宋" w:hAnsi="仿宋" w:eastAsia="仿宋" w:cs="Arial"/>
                <w:b/>
                <w:bCs/>
                <w:color w:val="auto"/>
                <w:szCs w:val="21"/>
              </w:rPr>
            </w:pPr>
            <w:r>
              <w:rPr>
                <w:rFonts w:hint="eastAsia" w:ascii="仿宋" w:hAnsi="仿宋" w:eastAsia="仿宋" w:cs="Arial"/>
                <w:b/>
                <w:bCs/>
                <w:color w:val="auto"/>
                <w:szCs w:val="21"/>
              </w:rPr>
              <w:t>情节</w:t>
            </w:r>
          </w:p>
          <w:p w14:paraId="2D9CE81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严重</w:t>
            </w:r>
          </w:p>
        </w:tc>
        <w:tc>
          <w:tcPr>
            <w:tcW w:w="1043" w:type="dxa"/>
            <w:vAlign w:val="center"/>
          </w:tcPr>
          <w:p w14:paraId="75560AF9">
            <w:pPr>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对单位的处罚</w:t>
            </w:r>
          </w:p>
        </w:tc>
        <w:tc>
          <w:tcPr>
            <w:tcW w:w="2805" w:type="dxa"/>
            <w:vAlign w:val="center"/>
          </w:tcPr>
          <w:p w14:paraId="7D50D650">
            <w:pPr>
              <w:widowControl/>
              <w:adjustRightInd w:val="0"/>
              <w:snapToGrid w:val="0"/>
              <w:spacing w:line="240" w:lineRule="exact"/>
              <w:jc w:val="both"/>
              <w:rPr>
                <w:rFonts w:ascii="仿宋" w:hAnsi="仿宋" w:eastAsia="仿宋" w:cs="宋体"/>
                <w:color w:val="auto"/>
                <w:szCs w:val="21"/>
              </w:rPr>
            </w:pPr>
          </w:p>
        </w:tc>
        <w:tc>
          <w:tcPr>
            <w:tcW w:w="2806" w:type="dxa"/>
            <w:vAlign w:val="center"/>
          </w:tcPr>
          <w:p w14:paraId="77296358">
            <w:pPr>
              <w:widowControl/>
              <w:adjustRightInd w:val="0"/>
              <w:snapToGrid w:val="0"/>
              <w:spacing w:line="240" w:lineRule="exact"/>
              <w:jc w:val="both"/>
              <w:rPr>
                <w:rFonts w:ascii="仿宋" w:hAnsi="仿宋" w:eastAsia="仿宋" w:cs="Arial"/>
                <w:color w:val="auto"/>
                <w:szCs w:val="21"/>
              </w:rPr>
            </w:pPr>
          </w:p>
        </w:tc>
        <w:tc>
          <w:tcPr>
            <w:tcW w:w="2805" w:type="dxa"/>
            <w:vAlign w:val="center"/>
          </w:tcPr>
          <w:p w14:paraId="5360878E">
            <w:pPr>
              <w:widowControl/>
              <w:adjustRightInd w:val="0"/>
              <w:snapToGrid w:val="0"/>
              <w:spacing w:line="200" w:lineRule="exact"/>
              <w:jc w:val="both"/>
              <w:rPr>
                <w:rFonts w:ascii="仿宋" w:hAnsi="仿宋" w:eastAsia="仿宋" w:cs="Arial"/>
                <w:color w:val="auto"/>
                <w:szCs w:val="21"/>
              </w:rPr>
            </w:pPr>
            <w:r>
              <w:rPr>
                <w:rFonts w:hint="eastAsia" w:ascii="仿宋" w:hAnsi="仿宋" w:eastAsia="仿宋" w:cs="Arial"/>
                <w:color w:val="auto"/>
                <w:szCs w:val="21"/>
              </w:rPr>
              <w:t>1.没收违法生产、进口、销售的药品和违法所得以及专门用于违法生产的原料、辅料、包装材料和生产设备；</w:t>
            </w:r>
          </w:p>
          <w:p w14:paraId="5C089574">
            <w:pPr>
              <w:widowControl/>
              <w:adjustRightInd w:val="0"/>
              <w:snapToGrid w:val="0"/>
              <w:spacing w:line="200" w:lineRule="exact"/>
              <w:jc w:val="both"/>
              <w:rPr>
                <w:rFonts w:ascii="仿宋" w:hAnsi="仿宋" w:eastAsia="仿宋" w:cs="Arial"/>
                <w:color w:val="auto"/>
                <w:szCs w:val="21"/>
              </w:rPr>
            </w:pPr>
            <w:r>
              <w:rPr>
                <w:rFonts w:hint="eastAsia" w:ascii="仿宋" w:hAnsi="仿宋" w:eastAsia="仿宋" w:cs="Arial"/>
                <w:color w:val="auto"/>
                <w:szCs w:val="21"/>
              </w:rPr>
              <w:t>2.责令停产停业整顿；</w:t>
            </w:r>
          </w:p>
          <w:p w14:paraId="0CF9BF63">
            <w:pPr>
              <w:widowControl/>
              <w:adjustRightInd w:val="0"/>
              <w:snapToGrid w:val="0"/>
              <w:spacing w:line="200" w:lineRule="exact"/>
              <w:jc w:val="both"/>
              <w:rPr>
                <w:rFonts w:hint="eastAsia" w:ascii="仿宋" w:hAnsi="仿宋" w:eastAsia="仿宋" w:cs="Arial"/>
                <w:color w:val="auto"/>
                <w:szCs w:val="21"/>
                <w:lang w:eastAsia="zh-CN"/>
              </w:rPr>
            </w:pPr>
            <w:r>
              <w:rPr>
                <w:rFonts w:hint="eastAsia" w:ascii="仿宋" w:hAnsi="仿宋" w:eastAsia="仿宋" w:cs="Arial"/>
                <w:color w:val="auto"/>
                <w:szCs w:val="21"/>
              </w:rPr>
              <w:t>3.并处违法生产、进口、销售的药品货值金额25.5倍以上30倍以下的罚款</w:t>
            </w:r>
            <w:r>
              <w:rPr>
                <w:rFonts w:hint="eastAsia" w:ascii="仿宋" w:hAnsi="仿宋" w:eastAsia="仿宋" w:cs="Arial"/>
                <w:color w:val="auto"/>
                <w:szCs w:val="21"/>
                <w:lang w:eastAsia="zh-CN"/>
              </w:rPr>
              <w:t>；</w:t>
            </w:r>
          </w:p>
          <w:p w14:paraId="497C4AD0">
            <w:pPr>
              <w:widowControl/>
              <w:adjustRightInd w:val="0"/>
              <w:snapToGrid w:val="0"/>
              <w:spacing w:line="20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货值金额不足十万元的，按十万元计算</w:t>
            </w:r>
            <w:r>
              <w:rPr>
                <w:rFonts w:hint="eastAsia" w:ascii="仿宋" w:hAnsi="仿宋" w:eastAsia="仿宋" w:cs="Arial"/>
                <w:color w:val="auto"/>
                <w:szCs w:val="21"/>
                <w:lang w:eastAsia="zh-CN"/>
              </w:rPr>
              <w:t>；</w:t>
            </w:r>
          </w:p>
          <w:p w14:paraId="7FD46F93">
            <w:pPr>
              <w:widowControl/>
              <w:adjustRightInd w:val="0"/>
              <w:snapToGrid w:val="0"/>
              <w:spacing w:line="200" w:lineRule="exact"/>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5.</w:t>
            </w:r>
            <w:r>
              <w:rPr>
                <w:rFonts w:hint="eastAsia" w:ascii="仿宋" w:hAnsi="仿宋" w:eastAsia="仿宋" w:cs="Arial"/>
                <w:color w:val="auto"/>
                <w:szCs w:val="21"/>
              </w:rPr>
              <w:t>吊销药品批准证明文件</w:t>
            </w:r>
            <w:r>
              <w:rPr>
                <w:rFonts w:hint="eastAsia" w:ascii="仿宋" w:hAnsi="仿宋" w:eastAsia="仿宋" w:cs="Arial"/>
                <w:color w:val="auto"/>
                <w:szCs w:val="21"/>
                <w:lang w:eastAsia="zh-CN"/>
              </w:rPr>
              <w:t>。</w:t>
            </w:r>
          </w:p>
        </w:tc>
        <w:tc>
          <w:tcPr>
            <w:tcW w:w="2806" w:type="dxa"/>
            <w:vAlign w:val="center"/>
          </w:tcPr>
          <w:p w14:paraId="147549DD">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lang w:eastAsia="zh-CN"/>
              </w:rPr>
              <w:t>并处</w:t>
            </w:r>
            <w:r>
              <w:rPr>
                <w:rFonts w:hint="eastAsia" w:ascii="仿宋" w:hAnsi="仿宋" w:eastAsia="仿宋" w:cs="Arial"/>
                <w:color w:val="auto"/>
                <w:szCs w:val="21"/>
              </w:rPr>
              <w:t>吊销药品生产经营许可证或者医疗机构制剂许可证。</w:t>
            </w:r>
          </w:p>
        </w:tc>
      </w:tr>
      <w:tr w14:paraId="2508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3" w:hRule="atLeast"/>
          <w:jc w:val="center"/>
        </w:trPr>
        <w:tc>
          <w:tcPr>
            <w:tcW w:w="534" w:type="dxa"/>
            <w:vMerge w:val="continue"/>
            <w:vAlign w:val="center"/>
          </w:tcPr>
          <w:p w14:paraId="1C57A401">
            <w:pPr>
              <w:widowControl/>
              <w:adjustRightInd w:val="0"/>
              <w:snapToGrid w:val="0"/>
              <w:jc w:val="both"/>
              <w:rPr>
                <w:rFonts w:ascii="仿宋" w:hAnsi="仿宋" w:eastAsia="仿宋" w:cs="Arial"/>
                <w:color w:val="auto"/>
                <w:szCs w:val="21"/>
              </w:rPr>
            </w:pPr>
          </w:p>
        </w:tc>
        <w:tc>
          <w:tcPr>
            <w:tcW w:w="656" w:type="dxa"/>
            <w:vMerge w:val="continue"/>
            <w:vAlign w:val="center"/>
          </w:tcPr>
          <w:p w14:paraId="5D149B83">
            <w:pPr>
              <w:widowControl/>
              <w:adjustRightInd w:val="0"/>
              <w:snapToGrid w:val="0"/>
              <w:jc w:val="both"/>
              <w:rPr>
                <w:rFonts w:ascii="仿宋" w:hAnsi="仿宋" w:eastAsia="仿宋" w:cs="Arial"/>
                <w:color w:val="auto"/>
                <w:szCs w:val="21"/>
              </w:rPr>
            </w:pPr>
          </w:p>
        </w:tc>
        <w:tc>
          <w:tcPr>
            <w:tcW w:w="427" w:type="dxa"/>
            <w:vMerge w:val="continue"/>
            <w:vAlign w:val="center"/>
          </w:tcPr>
          <w:p w14:paraId="4B453EEF">
            <w:pPr>
              <w:widowControl/>
              <w:adjustRightInd w:val="0"/>
              <w:snapToGrid w:val="0"/>
              <w:jc w:val="both"/>
              <w:rPr>
                <w:rFonts w:ascii="仿宋" w:hAnsi="仿宋" w:eastAsia="仿宋" w:cs="Arial"/>
                <w:color w:val="auto"/>
                <w:szCs w:val="21"/>
              </w:rPr>
            </w:pPr>
          </w:p>
        </w:tc>
        <w:tc>
          <w:tcPr>
            <w:tcW w:w="1043" w:type="dxa"/>
            <w:vAlign w:val="center"/>
          </w:tcPr>
          <w:p w14:paraId="5D5616E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对责任人的处罚</w:t>
            </w:r>
          </w:p>
        </w:tc>
        <w:tc>
          <w:tcPr>
            <w:tcW w:w="2805" w:type="dxa"/>
            <w:vAlign w:val="center"/>
          </w:tcPr>
          <w:p w14:paraId="68D39B7B">
            <w:pPr>
              <w:widowControl/>
              <w:adjustRightInd w:val="0"/>
              <w:snapToGrid w:val="0"/>
              <w:jc w:val="both"/>
              <w:rPr>
                <w:rFonts w:ascii="仿宋" w:hAnsi="仿宋" w:eastAsia="仿宋" w:cs="Arial"/>
                <w:color w:val="auto"/>
                <w:szCs w:val="21"/>
              </w:rPr>
            </w:pPr>
          </w:p>
        </w:tc>
        <w:tc>
          <w:tcPr>
            <w:tcW w:w="2806" w:type="dxa"/>
            <w:vAlign w:val="center"/>
          </w:tcPr>
          <w:p w14:paraId="3D4B9B6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720C2BD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并处所获收入30%以上1.</w:t>
            </w:r>
            <w:r>
              <w:rPr>
                <w:rFonts w:hint="eastAsia" w:ascii="仿宋" w:hAnsi="仿宋" w:eastAsia="仿宋" w:cs="Arial"/>
                <w:color w:val="auto"/>
                <w:szCs w:val="21"/>
                <w:lang w:val="en-US" w:eastAsia="zh-CN"/>
              </w:rPr>
              <w:t>1</w:t>
            </w:r>
            <w:r>
              <w:rPr>
                <w:rFonts w:hint="eastAsia" w:ascii="仿宋" w:hAnsi="仿宋" w:eastAsia="仿宋" w:cs="Arial"/>
                <w:color w:val="auto"/>
                <w:szCs w:val="21"/>
              </w:rPr>
              <w:t>1倍以下的罚款；</w:t>
            </w:r>
          </w:p>
          <w:p w14:paraId="663171E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10年内禁止从事药品生产经营活动。</w:t>
            </w:r>
          </w:p>
        </w:tc>
        <w:tc>
          <w:tcPr>
            <w:tcW w:w="2805" w:type="dxa"/>
            <w:vAlign w:val="center"/>
          </w:tcPr>
          <w:p w14:paraId="485D5C5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1.没收违法行为发生期间自本单位所获收入；</w:t>
            </w:r>
          </w:p>
          <w:p w14:paraId="6BC1D0A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并处所获收入1.1</w:t>
            </w:r>
            <w:r>
              <w:rPr>
                <w:rFonts w:hint="eastAsia" w:ascii="仿宋" w:hAnsi="仿宋" w:eastAsia="仿宋" w:cs="Arial"/>
                <w:color w:val="auto"/>
                <w:szCs w:val="21"/>
                <w:lang w:val="en-US" w:eastAsia="zh-CN"/>
              </w:rPr>
              <w:t>1</w:t>
            </w:r>
            <w:r>
              <w:rPr>
                <w:rFonts w:hint="eastAsia" w:ascii="仿宋" w:hAnsi="仿宋" w:eastAsia="仿宋" w:cs="Arial"/>
                <w:color w:val="auto"/>
                <w:szCs w:val="21"/>
              </w:rPr>
              <w:t>倍以上2.</w:t>
            </w:r>
            <w:r>
              <w:rPr>
                <w:rFonts w:hint="eastAsia" w:ascii="仿宋" w:hAnsi="仿宋" w:eastAsia="仿宋" w:cs="Arial"/>
                <w:color w:val="auto"/>
                <w:szCs w:val="21"/>
                <w:lang w:val="en-US" w:eastAsia="zh-CN"/>
              </w:rPr>
              <w:t>19</w:t>
            </w:r>
            <w:r>
              <w:rPr>
                <w:rFonts w:hint="eastAsia" w:ascii="仿宋" w:hAnsi="仿宋" w:eastAsia="仿宋" w:cs="Arial"/>
                <w:color w:val="auto"/>
                <w:szCs w:val="21"/>
              </w:rPr>
              <w:t>倍以下的罚款；</w:t>
            </w:r>
          </w:p>
          <w:p w14:paraId="709D27F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10年以上</w:t>
            </w:r>
            <w:r>
              <w:rPr>
                <w:rFonts w:hint="eastAsia" w:ascii="仿宋" w:hAnsi="仿宋" w:eastAsia="仿宋" w:cs="Arial"/>
                <w:color w:val="auto"/>
                <w:szCs w:val="21"/>
                <w:lang w:eastAsia="zh-CN"/>
              </w:rPr>
              <w:t>（不含本数）</w:t>
            </w:r>
            <w:r>
              <w:rPr>
                <w:rFonts w:hint="eastAsia" w:ascii="仿宋" w:hAnsi="仿宋" w:eastAsia="仿宋" w:cs="Arial"/>
                <w:color w:val="auto"/>
                <w:szCs w:val="21"/>
              </w:rPr>
              <w:t>20年以</w:t>
            </w:r>
            <w:r>
              <w:rPr>
                <w:rFonts w:hint="eastAsia" w:ascii="仿宋" w:hAnsi="仿宋" w:eastAsia="仿宋" w:cs="Arial"/>
                <w:color w:val="auto"/>
                <w:szCs w:val="21"/>
                <w:lang w:eastAsia="zh-CN"/>
              </w:rPr>
              <w:t>内（含本数）</w:t>
            </w:r>
            <w:r>
              <w:rPr>
                <w:rFonts w:hint="eastAsia" w:ascii="仿宋" w:hAnsi="仿宋" w:eastAsia="仿宋" w:cs="Arial"/>
                <w:color w:val="auto"/>
                <w:szCs w:val="21"/>
              </w:rPr>
              <w:t>禁止从事药品生产经营活动。</w:t>
            </w:r>
          </w:p>
        </w:tc>
        <w:tc>
          <w:tcPr>
            <w:tcW w:w="2806" w:type="dxa"/>
            <w:vAlign w:val="center"/>
          </w:tcPr>
          <w:p w14:paraId="72F0628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03B1D69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w:t>
            </w:r>
            <w:r>
              <w:rPr>
                <w:rFonts w:hint="eastAsia" w:ascii="仿宋" w:hAnsi="Times New Roman" w:eastAsia="仿宋" w:cs="Times New Roman"/>
                <w:color w:val="auto"/>
                <w:szCs w:val="21"/>
              </w:rPr>
              <w:t>所获收入</w:t>
            </w:r>
            <w:r>
              <w:rPr>
                <w:rFonts w:hint="eastAsia" w:ascii="仿宋" w:hAnsi="仿宋" w:eastAsia="仿宋" w:cs="Arial"/>
                <w:color w:val="auto"/>
                <w:szCs w:val="21"/>
              </w:rPr>
              <w:t>2.</w:t>
            </w:r>
            <w:r>
              <w:rPr>
                <w:rFonts w:hint="eastAsia" w:ascii="仿宋" w:hAnsi="仿宋" w:eastAsia="仿宋" w:cs="Arial"/>
                <w:color w:val="auto"/>
                <w:szCs w:val="21"/>
                <w:lang w:val="en-US" w:eastAsia="zh-CN"/>
              </w:rPr>
              <w:t>19</w:t>
            </w:r>
            <w:r>
              <w:rPr>
                <w:rFonts w:hint="eastAsia" w:ascii="仿宋" w:hAnsi="仿宋" w:eastAsia="仿宋" w:cs="Arial"/>
                <w:color w:val="auto"/>
                <w:szCs w:val="21"/>
              </w:rPr>
              <w:t>倍以上3倍以下的罚款；</w:t>
            </w:r>
          </w:p>
          <w:p w14:paraId="73DD3D6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20年以上（不含本数）</w:t>
            </w:r>
            <w:r>
              <w:rPr>
                <w:rFonts w:hint="eastAsia" w:ascii="仿宋" w:hAnsi="仿宋" w:eastAsia="仿宋" w:cs="Arial"/>
                <w:color w:val="auto"/>
                <w:szCs w:val="21"/>
              </w:rPr>
              <w:t>至终身禁止从事药品生产经营活动。</w:t>
            </w:r>
          </w:p>
        </w:tc>
      </w:tr>
    </w:tbl>
    <w:p w14:paraId="6818A83A">
      <w:pPr>
        <w:adjustRightInd w:val="0"/>
        <w:spacing w:line="240" w:lineRule="exact"/>
        <w:jc w:val="both"/>
        <w:rPr>
          <w:rFonts w:ascii="仿宋" w:hAnsi="仿宋" w:eastAsia="仿宋" w:cs="Times New Roman"/>
          <w:color w:val="auto"/>
          <w:szCs w:val="21"/>
        </w:rPr>
      </w:pPr>
    </w:p>
    <w:tbl>
      <w:tblPr>
        <w:tblStyle w:val="6"/>
        <w:tblW w:w="139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33"/>
        <w:gridCol w:w="584"/>
        <w:gridCol w:w="584"/>
        <w:gridCol w:w="2932"/>
        <w:gridCol w:w="7"/>
        <w:gridCol w:w="2926"/>
        <w:gridCol w:w="14"/>
        <w:gridCol w:w="2919"/>
        <w:gridCol w:w="20"/>
        <w:gridCol w:w="2913"/>
        <w:gridCol w:w="27"/>
      </w:tblGrid>
      <w:tr w14:paraId="7713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397" w:hRule="atLeast"/>
        </w:trPr>
        <w:tc>
          <w:tcPr>
            <w:tcW w:w="534" w:type="dxa"/>
            <w:vMerge w:val="restart"/>
            <w:vAlign w:val="center"/>
          </w:tcPr>
          <w:p w14:paraId="71E3D3A6">
            <w:pPr>
              <w:widowControl/>
              <w:adjustRightInd w:val="0"/>
              <w:snapToGrid w:val="0"/>
              <w:jc w:val="both"/>
              <w:rPr>
                <w:rFonts w:ascii="仿宋" w:hAnsi="仿宋" w:eastAsia="仿宋" w:cs="Arial"/>
                <w:b/>
                <w:bCs/>
                <w:color w:val="auto"/>
                <w:kern w:val="0"/>
                <w:szCs w:val="21"/>
              </w:rPr>
            </w:pPr>
            <w:r>
              <w:rPr>
                <w:rFonts w:hint="eastAsia" w:ascii="仿宋" w:hAnsi="仿宋" w:eastAsia="仿宋" w:cs="Arial"/>
                <w:b/>
                <w:bCs/>
                <w:color w:val="auto"/>
                <w:kern w:val="0"/>
                <w:szCs w:val="21"/>
              </w:rPr>
              <w:t>10</w:t>
            </w:r>
          </w:p>
        </w:tc>
        <w:tc>
          <w:tcPr>
            <w:tcW w:w="1701" w:type="dxa"/>
            <w:gridSpan w:val="3"/>
            <w:vAlign w:val="center"/>
          </w:tcPr>
          <w:p w14:paraId="291A7232">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违法行为</w:t>
            </w:r>
          </w:p>
        </w:tc>
        <w:tc>
          <w:tcPr>
            <w:tcW w:w="11731" w:type="dxa"/>
            <w:gridSpan w:val="7"/>
            <w:vAlign w:val="center"/>
          </w:tcPr>
          <w:p w14:paraId="325CECA5">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违反</w:t>
            </w:r>
            <w:r>
              <w:rPr>
                <w:rFonts w:hint="eastAsia" w:ascii="仿宋" w:hAnsi="仿宋" w:eastAsia="仿宋" w:cs="Arial"/>
                <w:b/>
                <w:bCs/>
                <w:color w:val="auto"/>
                <w:kern w:val="0"/>
                <w:szCs w:val="21"/>
                <w:lang w:eastAsia="zh-CN"/>
              </w:rPr>
              <w:t>《中华人民共和国药品管理法》</w:t>
            </w:r>
            <w:r>
              <w:rPr>
                <w:rFonts w:hint="eastAsia" w:ascii="仿宋" w:hAnsi="仿宋" w:eastAsia="仿宋" w:cs="Arial"/>
                <w:b/>
                <w:bCs/>
                <w:color w:val="auto"/>
                <w:kern w:val="0"/>
                <w:szCs w:val="21"/>
              </w:rPr>
              <w:t>第一百二十五条的行为</w:t>
            </w:r>
          </w:p>
        </w:tc>
      </w:tr>
      <w:tr w14:paraId="19E9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1908" w:hRule="atLeast"/>
        </w:trPr>
        <w:tc>
          <w:tcPr>
            <w:tcW w:w="534" w:type="dxa"/>
            <w:vMerge w:val="continue"/>
            <w:vAlign w:val="center"/>
          </w:tcPr>
          <w:p w14:paraId="05905719">
            <w:pPr>
              <w:widowControl/>
              <w:adjustRightInd w:val="0"/>
              <w:snapToGrid w:val="0"/>
              <w:jc w:val="both"/>
              <w:rPr>
                <w:rFonts w:ascii="仿宋" w:hAnsi="仿宋" w:eastAsia="仿宋" w:cs="宋体"/>
                <w:color w:val="auto"/>
                <w:kern w:val="0"/>
                <w:szCs w:val="21"/>
              </w:rPr>
            </w:pPr>
          </w:p>
        </w:tc>
        <w:tc>
          <w:tcPr>
            <w:tcW w:w="1701" w:type="dxa"/>
            <w:gridSpan w:val="3"/>
            <w:vAlign w:val="center"/>
          </w:tcPr>
          <w:p w14:paraId="13D628AB">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处罚依据</w:t>
            </w:r>
          </w:p>
        </w:tc>
        <w:tc>
          <w:tcPr>
            <w:tcW w:w="11731" w:type="dxa"/>
            <w:gridSpan w:val="7"/>
            <w:vAlign w:val="center"/>
          </w:tcPr>
          <w:p w14:paraId="4B46CF79">
            <w:pPr>
              <w:widowControl/>
              <w:adjustRightInd w:val="0"/>
              <w:snapToGrid w:val="0"/>
              <w:spacing w:line="240" w:lineRule="exact"/>
              <w:jc w:val="both"/>
              <w:rPr>
                <w:rFonts w:ascii="仿宋" w:hAnsi="仿宋" w:eastAsia="仿宋" w:cs="Arial"/>
                <w:color w:val="auto"/>
                <w:kern w:val="0"/>
                <w:sz w:val="18"/>
                <w:szCs w:val="18"/>
              </w:rPr>
            </w:pPr>
            <w:r>
              <w:rPr>
                <w:rFonts w:hint="eastAsia" w:ascii="仿宋" w:hAnsi="仿宋" w:eastAsia="仿宋" w:cs="Arial"/>
                <w:b/>
                <w:bCs/>
                <w:color w:val="auto"/>
                <w:kern w:val="0"/>
                <w:sz w:val="18"/>
                <w:szCs w:val="18"/>
                <w:lang w:eastAsia="zh-CN"/>
              </w:rPr>
              <w:t>《中华人民共和国药品管理法》</w:t>
            </w:r>
            <w:r>
              <w:rPr>
                <w:rFonts w:hint="eastAsia" w:ascii="仿宋" w:hAnsi="仿宋" w:eastAsia="仿宋" w:cs="Arial"/>
                <w:b/>
                <w:bCs/>
                <w:color w:val="auto"/>
                <w:kern w:val="0"/>
                <w:sz w:val="18"/>
                <w:szCs w:val="18"/>
              </w:rPr>
              <w:t>第一百二十五条：</w:t>
            </w:r>
            <w:r>
              <w:rPr>
                <w:rFonts w:hint="eastAsia" w:ascii="仿宋" w:hAnsi="仿宋" w:eastAsia="仿宋" w:cs="Arial"/>
                <w:color w:val="auto"/>
                <w:kern w:val="0"/>
                <w:sz w:val="18"/>
                <w:szCs w:val="18"/>
              </w:rPr>
              <w:t>违反本法规定，有下列行为之一的，没收违法生产、销售的药品和违法所得以及包装材料、容器，责令停产停业整顿，并处五十万元以上五百万元以下的罚款；情节严重的，吊销药品批准证明文件、药品生产许可证、药品经营许可证，对法定代表人、主要负责人、直接负责的主管人员和其他责任人员处二万元以上二十万元以下的罚款，十年直至终身禁止从事药品生产经营活动：</w:t>
            </w:r>
          </w:p>
          <w:p w14:paraId="74EDD128">
            <w:pPr>
              <w:widowControl/>
              <w:adjustRightInd w:val="0"/>
              <w:snapToGrid w:val="0"/>
              <w:spacing w:line="240" w:lineRule="exact"/>
              <w:jc w:val="both"/>
              <w:rPr>
                <w:rFonts w:ascii="仿宋" w:hAnsi="仿宋" w:eastAsia="仿宋" w:cs="Arial"/>
                <w:color w:val="auto"/>
                <w:kern w:val="0"/>
                <w:sz w:val="18"/>
                <w:szCs w:val="18"/>
              </w:rPr>
            </w:pPr>
            <w:r>
              <w:rPr>
                <w:rFonts w:hint="eastAsia" w:ascii="仿宋" w:hAnsi="仿宋" w:eastAsia="仿宋" w:cs="Arial"/>
                <w:color w:val="auto"/>
                <w:kern w:val="0"/>
                <w:sz w:val="18"/>
                <w:szCs w:val="18"/>
              </w:rPr>
              <w:t>（一）未经批准开展药物临床试验；</w:t>
            </w:r>
          </w:p>
          <w:p w14:paraId="3B0D4254">
            <w:pPr>
              <w:widowControl/>
              <w:adjustRightInd w:val="0"/>
              <w:snapToGrid w:val="0"/>
              <w:spacing w:line="240" w:lineRule="exact"/>
              <w:jc w:val="both"/>
              <w:rPr>
                <w:rFonts w:ascii="仿宋" w:hAnsi="仿宋" w:eastAsia="仿宋" w:cs="Arial"/>
                <w:color w:val="auto"/>
                <w:kern w:val="0"/>
                <w:sz w:val="18"/>
                <w:szCs w:val="18"/>
              </w:rPr>
            </w:pPr>
            <w:r>
              <w:rPr>
                <w:rFonts w:hint="eastAsia" w:ascii="仿宋" w:hAnsi="仿宋" w:eastAsia="仿宋" w:cs="Arial"/>
                <w:color w:val="auto"/>
                <w:kern w:val="0"/>
                <w:sz w:val="18"/>
                <w:szCs w:val="18"/>
              </w:rPr>
              <w:t>（二）使用未经审评的直接接触药品的包装材料或者容器生产药品，或者销售该类药品；</w:t>
            </w:r>
          </w:p>
          <w:p w14:paraId="336DAA9D">
            <w:pPr>
              <w:widowControl/>
              <w:adjustRightInd w:val="0"/>
              <w:snapToGrid w:val="0"/>
              <w:spacing w:line="240" w:lineRule="exact"/>
              <w:jc w:val="both"/>
              <w:rPr>
                <w:rFonts w:ascii="仿宋" w:hAnsi="仿宋" w:eastAsia="仿宋" w:cs="Arial"/>
                <w:color w:val="auto"/>
                <w:kern w:val="0"/>
                <w:sz w:val="18"/>
                <w:szCs w:val="18"/>
              </w:rPr>
            </w:pPr>
            <w:r>
              <w:rPr>
                <w:rFonts w:hint="eastAsia" w:ascii="仿宋" w:hAnsi="仿宋" w:eastAsia="仿宋" w:cs="Arial"/>
                <w:color w:val="auto"/>
                <w:kern w:val="0"/>
                <w:sz w:val="18"/>
                <w:szCs w:val="18"/>
              </w:rPr>
              <w:t>（三）使用未经核准的标签、说明书。</w:t>
            </w:r>
          </w:p>
          <w:p w14:paraId="1E7D11A6">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b/>
                <w:bCs/>
                <w:color w:val="auto"/>
                <w:kern w:val="0"/>
                <w:sz w:val="18"/>
                <w:szCs w:val="18"/>
              </w:rPr>
              <w:t>《药品注册管理办法》第一百一十四条：</w:t>
            </w:r>
            <w:r>
              <w:rPr>
                <w:rFonts w:hint="eastAsia" w:ascii="仿宋" w:hAnsi="仿宋" w:eastAsia="仿宋" w:cs="Arial"/>
                <w:color w:val="auto"/>
                <w:kern w:val="0"/>
                <w:sz w:val="18"/>
                <w:szCs w:val="18"/>
              </w:rPr>
              <w:t>未经批准开展药物临床试验的，按照</w:t>
            </w:r>
            <w:r>
              <w:rPr>
                <w:rFonts w:hint="eastAsia" w:ascii="仿宋" w:hAnsi="仿宋" w:eastAsia="仿宋" w:cs="Arial"/>
                <w:color w:val="auto"/>
                <w:kern w:val="0"/>
                <w:sz w:val="18"/>
                <w:szCs w:val="18"/>
                <w:lang w:eastAsia="zh-CN"/>
              </w:rPr>
              <w:t>《中华人民共和国药品管理法》</w:t>
            </w:r>
            <w:r>
              <w:rPr>
                <w:rFonts w:hint="eastAsia" w:ascii="仿宋" w:hAnsi="仿宋" w:eastAsia="仿宋" w:cs="Arial"/>
                <w:color w:val="auto"/>
                <w:kern w:val="0"/>
                <w:sz w:val="18"/>
                <w:szCs w:val="18"/>
              </w:rPr>
              <w:t>第一百二十五条处理；开展生物等效性试验未备案的，按照</w:t>
            </w:r>
            <w:r>
              <w:rPr>
                <w:rFonts w:hint="eastAsia" w:ascii="仿宋" w:hAnsi="仿宋" w:eastAsia="仿宋" w:cs="Arial"/>
                <w:color w:val="auto"/>
                <w:kern w:val="0"/>
                <w:sz w:val="18"/>
                <w:szCs w:val="18"/>
                <w:lang w:eastAsia="zh-CN"/>
              </w:rPr>
              <w:t>《中华人民共和国药品管理法》</w:t>
            </w:r>
            <w:r>
              <w:rPr>
                <w:rFonts w:hint="eastAsia" w:ascii="仿宋" w:hAnsi="仿宋" w:eastAsia="仿宋" w:cs="Arial"/>
                <w:color w:val="auto"/>
                <w:kern w:val="0"/>
                <w:sz w:val="18"/>
                <w:szCs w:val="18"/>
              </w:rPr>
              <w:t>第一百二十七条处理。</w:t>
            </w:r>
          </w:p>
        </w:tc>
      </w:tr>
      <w:tr w14:paraId="372F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369" w:hRule="atLeast"/>
        </w:trPr>
        <w:tc>
          <w:tcPr>
            <w:tcW w:w="534" w:type="dxa"/>
            <w:vMerge w:val="continue"/>
            <w:vAlign w:val="center"/>
          </w:tcPr>
          <w:p w14:paraId="094A0CDB">
            <w:pPr>
              <w:widowControl/>
              <w:adjustRightInd w:val="0"/>
              <w:snapToGrid w:val="0"/>
              <w:jc w:val="both"/>
              <w:rPr>
                <w:rFonts w:ascii="仿宋" w:hAnsi="仿宋" w:eastAsia="仿宋" w:cs="Arial"/>
                <w:b/>
                <w:bCs/>
                <w:color w:val="auto"/>
                <w:kern w:val="0"/>
                <w:szCs w:val="21"/>
              </w:rPr>
            </w:pPr>
          </w:p>
        </w:tc>
        <w:tc>
          <w:tcPr>
            <w:tcW w:w="1701" w:type="dxa"/>
            <w:gridSpan w:val="3"/>
            <w:vAlign w:val="center"/>
          </w:tcPr>
          <w:p w14:paraId="2EC18C52">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裁量等级</w:t>
            </w:r>
          </w:p>
        </w:tc>
        <w:tc>
          <w:tcPr>
            <w:tcW w:w="2932" w:type="dxa"/>
            <w:vAlign w:val="center"/>
          </w:tcPr>
          <w:p w14:paraId="597CA83F">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减轻</w:t>
            </w:r>
          </w:p>
        </w:tc>
        <w:tc>
          <w:tcPr>
            <w:tcW w:w="2933" w:type="dxa"/>
            <w:gridSpan w:val="2"/>
            <w:vAlign w:val="center"/>
          </w:tcPr>
          <w:p w14:paraId="20FA9F61">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从轻</w:t>
            </w:r>
          </w:p>
        </w:tc>
        <w:tc>
          <w:tcPr>
            <w:tcW w:w="2933" w:type="dxa"/>
            <w:gridSpan w:val="2"/>
            <w:vAlign w:val="center"/>
          </w:tcPr>
          <w:p w14:paraId="2E4CA4CA">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一般</w:t>
            </w:r>
          </w:p>
        </w:tc>
        <w:tc>
          <w:tcPr>
            <w:tcW w:w="2933" w:type="dxa"/>
            <w:gridSpan w:val="2"/>
            <w:vAlign w:val="center"/>
          </w:tcPr>
          <w:p w14:paraId="313D63C1">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从重</w:t>
            </w:r>
          </w:p>
        </w:tc>
      </w:tr>
      <w:tr w14:paraId="3E87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1016" w:hRule="atLeast"/>
        </w:trPr>
        <w:tc>
          <w:tcPr>
            <w:tcW w:w="534" w:type="dxa"/>
            <w:vMerge w:val="continue"/>
            <w:vAlign w:val="center"/>
          </w:tcPr>
          <w:p w14:paraId="330B6F34">
            <w:pPr>
              <w:widowControl/>
              <w:adjustRightInd w:val="0"/>
              <w:snapToGrid w:val="0"/>
              <w:jc w:val="both"/>
              <w:rPr>
                <w:rFonts w:ascii="仿宋" w:hAnsi="仿宋" w:eastAsia="仿宋" w:cs="Arial"/>
                <w:b/>
                <w:bCs/>
                <w:color w:val="auto"/>
                <w:kern w:val="0"/>
                <w:szCs w:val="21"/>
              </w:rPr>
            </w:pPr>
          </w:p>
        </w:tc>
        <w:tc>
          <w:tcPr>
            <w:tcW w:w="1701" w:type="dxa"/>
            <w:gridSpan w:val="3"/>
            <w:vAlign w:val="center"/>
          </w:tcPr>
          <w:p w14:paraId="262C3AE0">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裁量情节</w:t>
            </w:r>
          </w:p>
        </w:tc>
        <w:tc>
          <w:tcPr>
            <w:tcW w:w="2932" w:type="dxa"/>
            <w:vAlign w:val="center"/>
          </w:tcPr>
          <w:p w14:paraId="012850F1">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初次使用未经核准的标签、说明书的；</w:t>
            </w:r>
          </w:p>
          <w:p w14:paraId="45E30CBD">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其他符合裁量规则减轻行政处罚情形的。</w:t>
            </w:r>
          </w:p>
        </w:tc>
        <w:tc>
          <w:tcPr>
            <w:tcW w:w="2933" w:type="dxa"/>
            <w:gridSpan w:val="2"/>
            <w:vAlign w:val="center"/>
          </w:tcPr>
          <w:p w14:paraId="7C2E1A0D">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符合裁量规则从轻行政处罚情形的。</w:t>
            </w:r>
          </w:p>
        </w:tc>
        <w:tc>
          <w:tcPr>
            <w:tcW w:w="2933" w:type="dxa"/>
            <w:gridSpan w:val="2"/>
            <w:vAlign w:val="center"/>
          </w:tcPr>
          <w:p w14:paraId="2E850DC9">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符合裁量规则一般行政处罚情形的。</w:t>
            </w:r>
          </w:p>
        </w:tc>
        <w:tc>
          <w:tcPr>
            <w:tcW w:w="2933" w:type="dxa"/>
            <w:gridSpan w:val="2"/>
            <w:vAlign w:val="center"/>
          </w:tcPr>
          <w:p w14:paraId="53DCC876">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符合裁量规则从重行政处罚情形的。</w:t>
            </w:r>
          </w:p>
        </w:tc>
      </w:tr>
      <w:tr w14:paraId="4B18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1526" w:hRule="atLeast"/>
        </w:trPr>
        <w:tc>
          <w:tcPr>
            <w:tcW w:w="534" w:type="dxa"/>
            <w:vMerge w:val="continue"/>
            <w:vAlign w:val="center"/>
          </w:tcPr>
          <w:p w14:paraId="695698B7">
            <w:pPr>
              <w:widowControl/>
              <w:adjustRightInd w:val="0"/>
              <w:snapToGrid w:val="0"/>
              <w:jc w:val="both"/>
              <w:rPr>
                <w:rFonts w:ascii="仿宋" w:hAnsi="仿宋" w:eastAsia="仿宋" w:cs="Arial"/>
                <w:color w:val="auto"/>
                <w:kern w:val="0"/>
                <w:szCs w:val="21"/>
              </w:rPr>
            </w:pPr>
          </w:p>
        </w:tc>
        <w:tc>
          <w:tcPr>
            <w:tcW w:w="533" w:type="dxa"/>
            <w:vMerge w:val="restart"/>
            <w:vAlign w:val="center"/>
          </w:tcPr>
          <w:p w14:paraId="06964A53">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裁</w:t>
            </w:r>
          </w:p>
          <w:p w14:paraId="2F1BA13F">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量</w:t>
            </w:r>
          </w:p>
          <w:p w14:paraId="407BAE95">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基</w:t>
            </w:r>
          </w:p>
          <w:p w14:paraId="48506A40">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准</w:t>
            </w:r>
          </w:p>
        </w:tc>
        <w:tc>
          <w:tcPr>
            <w:tcW w:w="1168" w:type="dxa"/>
            <w:gridSpan w:val="2"/>
            <w:vAlign w:val="center"/>
          </w:tcPr>
          <w:p w14:paraId="2424C2AF">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一般</w:t>
            </w:r>
          </w:p>
          <w:p w14:paraId="2BA64C0A">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情形</w:t>
            </w:r>
          </w:p>
        </w:tc>
        <w:tc>
          <w:tcPr>
            <w:tcW w:w="2932" w:type="dxa"/>
            <w:vAlign w:val="center"/>
          </w:tcPr>
          <w:p w14:paraId="4A6D6BF9">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1.没收违法生产、销售的药品和违法所得以及包装材料、容器；</w:t>
            </w:r>
          </w:p>
          <w:p w14:paraId="1F1E1795">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2.责令停产停业整顿；</w:t>
            </w:r>
          </w:p>
          <w:p w14:paraId="4B3615C2">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3.并处5万元以上50万元以下的罚款。</w:t>
            </w:r>
          </w:p>
        </w:tc>
        <w:tc>
          <w:tcPr>
            <w:tcW w:w="2933" w:type="dxa"/>
            <w:gridSpan w:val="2"/>
            <w:vAlign w:val="center"/>
          </w:tcPr>
          <w:p w14:paraId="0D020A26">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1.没收违法生产、销售的药品和违法所得以及包装材料、容器；</w:t>
            </w:r>
          </w:p>
          <w:p w14:paraId="33EFB5DB">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2.责令停产停业整顿；</w:t>
            </w:r>
          </w:p>
          <w:p w14:paraId="750303CA">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3.并处50万元以上185万元以下的罚款。</w:t>
            </w:r>
          </w:p>
        </w:tc>
        <w:tc>
          <w:tcPr>
            <w:tcW w:w="2933" w:type="dxa"/>
            <w:gridSpan w:val="2"/>
            <w:vAlign w:val="center"/>
          </w:tcPr>
          <w:p w14:paraId="68EB2193">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1.没收违法生产、销售的药品和违法所得以及包装材料、容器；</w:t>
            </w:r>
          </w:p>
          <w:p w14:paraId="1EFB79E6">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2.责令停产停业整顿；</w:t>
            </w:r>
          </w:p>
          <w:p w14:paraId="24687830">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3.并处违法收入185万元以上365万元以下的罚款。</w:t>
            </w:r>
          </w:p>
        </w:tc>
        <w:tc>
          <w:tcPr>
            <w:tcW w:w="2933" w:type="dxa"/>
            <w:gridSpan w:val="2"/>
            <w:vAlign w:val="center"/>
          </w:tcPr>
          <w:p w14:paraId="350F7972">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1.没收违法生产、销售的药品和违法所得以及包装材料、容器；</w:t>
            </w:r>
          </w:p>
          <w:p w14:paraId="61AC6ED8">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2.责令停产停业整顿；</w:t>
            </w:r>
          </w:p>
          <w:p w14:paraId="4A0FA334">
            <w:pPr>
              <w:widowControl/>
              <w:adjustRightInd w:val="0"/>
              <w:snapToGrid w:val="0"/>
              <w:spacing w:line="240" w:lineRule="exact"/>
              <w:jc w:val="both"/>
              <w:rPr>
                <w:rFonts w:ascii="仿宋" w:hAnsi="仿宋" w:eastAsia="仿宋" w:cs="Arial"/>
                <w:color w:val="auto"/>
                <w:kern w:val="0"/>
                <w:szCs w:val="21"/>
              </w:rPr>
            </w:pPr>
            <w:r>
              <w:rPr>
                <w:rFonts w:hint="eastAsia" w:ascii="仿宋" w:hAnsi="仿宋" w:eastAsia="仿宋" w:cs="Arial"/>
                <w:color w:val="auto"/>
                <w:kern w:val="0"/>
                <w:szCs w:val="21"/>
              </w:rPr>
              <w:t>3.并处365万元以上500万元以下的罚款。</w:t>
            </w:r>
          </w:p>
        </w:tc>
      </w:tr>
      <w:tr w14:paraId="0015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trPr>
        <w:tc>
          <w:tcPr>
            <w:tcW w:w="534" w:type="dxa"/>
            <w:vMerge w:val="continue"/>
            <w:vAlign w:val="center"/>
          </w:tcPr>
          <w:p w14:paraId="1D110F78">
            <w:pPr>
              <w:widowControl/>
              <w:adjustRightInd w:val="0"/>
              <w:snapToGrid w:val="0"/>
              <w:jc w:val="both"/>
              <w:rPr>
                <w:rFonts w:ascii="仿宋" w:hAnsi="仿宋" w:eastAsia="仿宋" w:cs="Arial"/>
                <w:color w:val="auto"/>
                <w:kern w:val="0"/>
                <w:szCs w:val="21"/>
              </w:rPr>
            </w:pPr>
          </w:p>
        </w:tc>
        <w:tc>
          <w:tcPr>
            <w:tcW w:w="533" w:type="dxa"/>
            <w:vMerge w:val="continue"/>
            <w:vAlign w:val="center"/>
          </w:tcPr>
          <w:p w14:paraId="006066CC">
            <w:pPr>
              <w:widowControl/>
              <w:adjustRightInd w:val="0"/>
              <w:snapToGrid w:val="0"/>
              <w:jc w:val="both"/>
              <w:rPr>
                <w:rFonts w:ascii="仿宋" w:hAnsi="仿宋" w:eastAsia="仿宋" w:cs="Arial"/>
                <w:color w:val="auto"/>
                <w:kern w:val="0"/>
                <w:szCs w:val="21"/>
              </w:rPr>
            </w:pPr>
          </w:p>
        </w:tc>
        <w:tc>
          <w:tcPr>
            <w:tcW w:w="584" w:type="dxa"/>
            <w:vMerge w:val="restart"/>
            <w:vAlign w:val="center"/>
          </w:tcPr>
          <w:p w14:paraId="5AF88599">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情节严重</w:t>
            </w:r>
          </w:p>
        </w:tc>
        <w:tc>
          <w:tcPr>
            <w:tcW w:w="584" w:type="dxa"/>
            <w:vAlign w:val="center"/>
          </w:tcPr>
          <w:p w14:paraId="5E7118D7">
            <w:pPr>
              <w:widowControl/>
              <w:adjustRightInd w:val="0"/>
              <w:snapToGrid w:val="0"/>
              <w:jc w:val="both"/>
              <w:rPr>
                <w:rFonts w:hint="eastAsia" w:ascii="仿宋" w:hAnsi="仿宋" w:eastAsia="仿宋" w:cs="Arial"/>
                <w:b/>
                <w:bCs/>
                <w:color w:val="auto"/>
                <w:kern w:val="0"/>
                <w:sz w:val="18"/>
                <w:szCs w:val="18"/>
                <w:lang w:eastAsia="zh-CN"/>
              </w:rPr>
            </w:pPr>
            <w:r>
              <w:rPr>
                <w:rFonts w:hint="eastAsia" w:ascii="仿宋" w:hAnsi="仿宋" w:eastAsia="仿宋" w:cs="Arial"/>
                <w:b/>
                <w:bCs/>
                <w:color w:val="auto"/>
                <w:kern w:val="0"/>
                <w:sz w:val="18"/>
                <w:szCs w:val="18"/>
                <w:lang w:eastAsia="zh-CN"/>
              </w:rPr>
              <w:t>对单位的处罚</w:t>
            </w:r>
          </w:p>
        </w:tc>
        <w:tc>
          <w:tcPr>
            <w:tcW w:w="2939" w:type="dxa"/>
            <w:gridSpan w:val="2"/>
            <w:vAlign w:val="center"/>
          </w:tcPr>
          <w:p w14:paraId="5A1991C3">
            <w:pPr>
              <w:widowControl/>
              <w:adjustRightInd w:val="0"/>
              <w:snapToGrid w:val="0"/>
              <w:spacing w:line="240" w:lineRule="exact"/>
              <w:jc w:val="both"/>
              <w:rPr>
                <w:rFonts w:ascii="仿宋" w:hAnsi="仿宋" w:eastAsia="仿宋" w:cs="Arial"/>
                <w:color w:val="auto"/>
                <w:kern w:val="0"/>
                <w:szCs w:val="21"/>
              </w:rPr>
            </w:pPr>
          </w:p>
        </w:tc>
        <w:tc>
          <w:tcPr>
            <w:tcW w:w="2940" w:type="dxa"/>
            <w:gridSpan w:val="2"/>
            <w:vAlign w:val="center"/>
          </w:tcPr>
          <w:p w14:paraId="718EDE89">
            <w:pPr>
              <w:jc w:val="both"/>
            </w:pPr>
          </w:p>
          <w:p w14:paraId="05B8A75C">
            <w:pPr>
              <w:widowControl/>
              <w:adjustRightInd w:val="0"/>
              <w:snapToGrid w:val="0"/>
              <w:spacing w:line="240" w:lineRule="exact"/>
              <w:jc w:val="both"/>
              <w:rPr>
                <w:rFonts w:ascii="仿宋" w:hAnsi="仿宋" w:eastAsia="仿宋" w:cs="Arial"/>
                <w:color w:val="auto"/>
                <w:kern w:val="0"/>
                <w:szCs w:val="21"/>
              </w:rPr>
            </w:pPr>
          </w:p>
        </w:tc>
        <w:tc>
          <w:tcPr>
            <w:tcW w:w="2939" w:type="dxa"/>
            <w:gridSpan w:val="2"/>
            <w:vAlign w:val="center"/>
          </w:tcPr>
          <w:p w14:paraId="77E66CF8">
            <w:pPr>
              <w:jc w:val="both"/>
            </w:pPr>
          </w:p>
          <w:p w14:paraId="16C80D7C">
            <w:pPr>
              <w:widowControl/>
              <w:adjustRightInd w:val="0"/>
              <w:snapToGrid w:val="0"/>
              <w:spacing w:line="240" w:lineRule="exact"/>
              <w:jc w:val="both"/>
              <w:rPr>
                <w:rFonts w:ascii="仿宋" w:hAnsi="仿宋" w:eastAsia="仿宋" w:cs="Arial"/>
                <w:color w:val="auto"/>
                <w:kern w:val="0"/>
                <w:szCs w:val="21"/>
              </w:rPr>
            </w:pPr>
          </w:p>
        </w:tc>
        <w:tc>
          <w:tcPr>
            <w:tcW w:w="2940" w:type="dxa"/>
            <w:gridSpan w:val="2"/>
            <w:vAlign w:val="center"/>
          </w:tcPr>
          <w:p w14:paraId="6E6208DB">
            <w:pPr>
              <w:jc w:val="both"/>
            </w:pPr>
            <w:r>
              <w:rPr>
                <w:rFonts w:hint="eastAsia" w:ascii="仿宋" w:hAnsi="仿宋" w:eastAsia="仿宋" w:cs="Arial"/>
                <w:color w:val="auto"/>
                <w:kern w:val="0"/>
                <w:szCs w:val="21"/>
                <w:lang w:eastAsia="zh-CN"/>
              </w:rPr>
              <w:t>并处</w:t>
            </w:r>
            <w:r>
              <w:rPr>
                <w:rFonts w:hint="eastAsia" w:ascii="仿宋" w:hAnsi="仿宋" w:eastAsia="仿宋" w:cs="Arial"/>
                <w:color w:val="auto"/>
                <w:kern w:val="0"/>
                <w:szCs w:val="21"/>
              </w:rPr>
              <w:t>吊销药品批准证明文件、药品生产许可证、药品经营许可证</w:t>
            </w:r>
            <w:r>
              <w:rPr>
                <w:rFonts w:hint="eastAsia" w:ascii="仿宋" w:hAnsi="仿宋" w:eastAsia="仿宋" w:cs="Arial"/>
                <w:color w:val="auto"/>
                <w:kern w:val="0"/>
                <w:szCs w:val="21"/>
                <w:lang w:eastAsia="zh-CN"/>
              </w:rPr>
              <w:t>。</w:t>
            </w:r>
          </w:p>
          <w:p w14:paraId="44116AED">
            <w:pPr>
              <w:widowControl/>
              <w:adjustRightInd w:val="0"/>
              <w:snapToGrid w:val="0"/>
              <w:spacing w:line="240" w:lineRule="exact"/>
              <w:jc w:val="both"/>
              <w:rPr>
                <w:rFonts w:ascii="仿宋" w:hAnsi="仿宋" w:eastAsia="仿宋" w:cs="Arial"/>
                <w:color w:val="auto"/>
                <w:kern w:val="0"/>
                <w:szCs w:val="21"/>
              </w:rPr>
            </w:pPr>
          </w:p>
        </w:tc>
      </w:tr>
      <w:tr w14:paraId="4DDE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trPr>
        <w:tc>
          <w:tcPr>
            <w:tcW w:w="534" w:type="dxa"/>
            <w:vMerge w:val="continue"/>
            <w:vAlign w:val="center"/>
          </w:tcPr>
          <w:p w14:paraId="0FC22D14">
            <w:pPr>
              <w:widowControl/>
              <w:adjustRightInd w:val="0"/>
              <w:snapToGrid w:val="0"/>
              <w:jc w:val="both"/>
              <w:rPr>
                <w:rFonts w:ascii="仿宋" w:hAnsi="仿宋" w:eastAsia="仿宋" w:cs="Arial"/>
                <w:color w:val="auto"/>
                <w:kern w:val="0"/>
                <w:szCs w:val="21"/>
              </w:rPr>
            </w:pPr>
          </w:p>
        </w:tc>
        <w:tc>
          <w:tcPr>
            <w:tcW w:w="533" w:type="dxa"/>
            <w:vAlign w:val="center"/>
          </w:tcPr>
          <w:p w14:paraId="684620F9">
            <w:pPr>
              <w:widowControl/>
              <w:adjustRightInd w:val="0"/>
              <w:snapToGrid w:val="0"/>
              <w:jc w:val="both"/>
              <w:rPr>
                <w:rFonts w:ascii="仿宋" w:hAnsi="仿宋" w:eastAsia="仿宋" w:cs="Arial"/>
                <w:color w:val="auto"/>
                <w:kern w:val="0"/>
                <w:szCs w:val="21"/>
              </w:rPr>
            </w:pPr>
          </w:p>
        </w:tc>
        <w:tc>
          <w:tcPr>
            <w:tcW w:w="584" w:type="dxa"/>
            <w:vMerge w:val="continue"/>
            <w:vAlign w:val="center"/>
          </w:tcPr>
          <w:p w14:paraId="237CD05C">
            <w:pPr>
              <w:widowControl/>
              <w:adjustRightInd w:val="0"/>
              <w:snapToGrid w:val="0"/>
              <w:jc w:val="both"/>
              <w:rPr>
                <w:rFonts w:ascii="仿宋" w:hAnsi="仿宋" w:eastAsia="仿宋" w:cs="Arial"/>
                <w:color w:val="auto"/>
                <w:kern w:val="0"/>
                <w:szCs w:val="21"/>
              </w:rPr>
            </w:pPr>
          </w:p>
        </w:tc>
        <w:tc>
          <w:tcPr>
            <w:tcW w:w="584" w:type="dxa"/>
            <w:vAlign w:val="center"/>
          </w:tcPr>
          <w:p w14:paraId="4A54806F">
            <w:pPr>
              <w:widowControl/>
              <w:adjustRightInd w:val="0"/>
              <w:snapToGrid w:val="0"/>
              <w:jc w:val="both"/>
              <w:rPr>
                <w:rFonts w:hint="eastAsia" w:ascii="仿宋" w:hAnsi="仿宋" w:eastAsia="仿宋" w:cs="Arial"/>
                <w:b/>
                <w:bCs/>
                <w:color w:val="auto"/>
                <w:kern w:val="0"/>
                <w:sz w:val="18"/>
                <w:szCs w:val="18"/>
              </w:rPr>
            </w:pPr>
            <w:r>
              <w:rPr>
                <w:rFonts w:hint="eastAsia" w:ascii="仿宋" w:hAnsi="仿宋" w:eastAsia="仿宋" w:cs="Arial"/>
                <w:b/>
                <w:bCs/>
                <w:color w:val="auto"/>
                <w:kern w:val="0"/>
                <w:sz w:val="18"/>
                <w:szCs w:val="18"/>
              </w:rPr>
              <w:t>对</w:t>
            </w:r>
            <w:r>
              <w:rPr>
                <w:rFonts w:hint="eastAsia" w:ascii="仿宋" w:hAnsi="仿宋" w:eastAsia="仿宋" w:cs="Arial"/>
                <w:b/>
                <w:bCs/>
                <w:color w:val="auto"/>
                <w:kern w:val="0"/>
                <w:sz w:val="18"/>
                <w:szCs w:val="18"/>
                <w:lang w:eastAsia="zh-CN"/>
              </w:rPr>
              <w:t>责任人员</w:t>
            </w:r>
            <w:r>
              <w:rPr>
                <w:rFonts w:hint="eastAsia" w:ascii="仿宋" w:hAnsi="仿宋" w:eastAsia="仿宋" w:cs="Arial"/>
                <w:b/>
                <w:bCs/>
                <w:color w:val="auto"/>
                <w:kern w:val="0"/>
                <w:sz w:val="18"/>
                <w:szCs w:val="18"/>
              </w:rPr>
              <w:t>的处罚</w:t>
            </w:r>
          </w:p>
        </w:tc>
        <w:tc>
          <w:tcPr>
            <w:tcW w:w="2939" w:type="dxa"/>
            <w:gridSpan w:val="2"/>
            <w:vAlign w:val="center"/>
          </w:tcPr>
          <w:p w14:paraId="41EA698B">
            <w:pPr>
              <w:widowControl/>
              <w:adjustRightInd w:val="0"/>
              <w:snapToGrid w:val="0"/>
              <w:jc w:val="both"/>
              <w:rPr>
                <w:rFonts w:ascii="仿宋" w:hAnsi="仿宋" w:eastAsia="仿宋" w:cs="Arial"/>
                <w:color w:val="auto"/>
                <w:kern w:val="0"/>
                <w:szCs w:val="21"/>
              </w:rPr>
            </w:pPr>
          </w:p>
        </w:tc>
        <w:tc>
          <w:tcPr>
            <w:tcW w:w="2940" w:type="dxa"/>
            <w:gridSpan w:val="2"/>
            <w:vAlign w:val="center"/>
          </w:tcPr>
          <w:p w14:paraId="32407E93">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处2万元以上7.4万元以下的罚款；</w:t>
            </w:r>
          </w:p>
          <w:p w14:paraId="2E870DFD">
            <w:pPr>
              <w:adjustRightInd w:val="0"/>
              <w:snapToGrid w:val="0"/>
              <w:jc w:val="both"/>
              <w:rPr>
                <w:rFonts w:hint="eastAsia" w:ascii="仿宋" w:hAnsi="仿宋" w:eastAsia="仿宋" w:cs="Arial"/>
                <w:b/>
                <w:bCs/>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10年内禁止从事药品</w:t>
            </w:r>
            <w:r>
              <w:rPr>
                <w:rFonts w:hint="eastAsia" w:ascii="仿宋" w:hAnsi="仿宋" w:eastAsia="仿宋" w:cs="Arial"/>
                <w:color w:val="auto"/>
                <w:kern w:val="0"/>
                <w:szCs w:val="21"/>
                <w:lang w:eastAsia="zh-CN"/>
              </w:rPr>
              <w:t>生产</w:t>
            </w:r>
            <w:r>
              <w:rPr>
                <w:rFonts w:hint="eastAsia" w:ascii="仿宋" w:hAnsi="仿宋" w:eastAsia="仿宋" w:cs="Arial"/>
                <w:color w:val="auto"/>
                <w:kern w:val="0"/>
                <w:szCs w:val="21"/>
              </w:rPr>
              <w:t>经营活动。</w:t>
            </w:r>
          </w:p>
        </w:tc>
        <w:tc>
          <w:tcPr>
            <w:tcW w:w="2939" w:type="dxa"/>
            <w:gridSpan w:val="2"/>
            <w:vAlign w:val="center"/>
          </w:tcPr>
          <w:p w14:paraId="10D66D14">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处7.4万元以上14.6万元以下的罚款；</w:t>
            </w:r>
          </w:p>
          <w:p w14:paraId="5240ECA2">
            <w:pPr>
              <w:adjustRightInd w:val="0"/>
              <w:snapToGrid w:val="0"/>
              <w:jc w:val="both"/>
              <w:rPr>
                <w:rFonts w:hint="eastAsia" w:ascii="仿宋" w:hAnsi="仿宋" w:eastAsia="仿宋" w:cs="Arial"/>
                <w:b/>
                <w:bCs/>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lang w:eastAsia="zh-CN"/>
              </w:rPr>
              <w:t>10年以上（不含本数）20年以内（含本数）</w:t>
            </w:r>
            <w:r>
              <w:rPr>
                <w:rFonts w:hint="eastAsia" w:ascii="仿宋" w:hAnsi="仿宋" w:eastAsia="仿宋" w:cs="Arial"/>
                <w:color w:val="auto"/>
                <w:kern w:val="0"/>
                <w:szCs w:val="21"/>
              </w:rPr>
              <w:t>禁止从事药品生产经营活动。</w:t>
            </w:r>
          </w:p>
        </w:tc>
        <w:tc>
          <w:tcPr>
            <w:tcW w:w="2940" w:type="dxa"/>
            <w:gridSpan w:val="2"/>
            <w:vAlign w:val="center"/>
          </w:tcPr>
          <w:p w14:paraId="04E53A33">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处14.6万元以上20万元以下的罚款；</w:t>
            </w:r>
          </w:p>
          <w:p w14:paraId="22CA853F">
            <w:pPr>
              <w:adjustRightInd w:val="0"/>
              <w:snapToGrid w:val="0"/>
              <w:jc w:val="both"/>
              <w:rPr>
                <w:rFonts w:hint="eastAsia" w:ascii="仿宋" w:hAnsi="仿宋" w:eastAsia="仿宋" w:cs="Arial"/>
                <w:b/>
                <w:bCs/>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lang w:eastAsia="zh-CN"/>
              </w:rPr>
              <w:t>20年以上（不含本数）</w:t>
            </w:r>
            <w:r>
              <w:rPr>
                <w:rFonts w:hint="eastAsia" w:ascii="仿宋" w:hAnsi="仿宋" w:eastAsia="仿宋" w:cs="Arial"/>
                <w:color w:val="auto"/>
                <w:kern w:val="0"/>
                <w:szCs w:val="21"/>
              </w:rPr>
              <w:t>至终身禁止从事药品生产经营活动。</w:t>
            </w:r>
          </w:p>
        </w:tc>
      </w:tr>
    </w:tbl>
    <w:p w14:paraId="3E9BA46E">
      <w:pPr>
        <w:widowControl/>
        <w:tabs>
          <w:tab w:val="left" w:pos="1155"/>
          <w:tab w:val="left" w:pos="6776"/>
          <w:tab w:val="left" w:pos="10201"/>
          <w:tab w:val="left" w:pos="13658"/>
          <w:tab w:val="left" w:pos="13894"/>
        </w:tabs>
        <w:adjustRightInd w:val="0"/>
        <w:spacing w:line="180" w:lineRule="exact"/>
        <w:jc w:val="both"/>
        <w:rPr>
          <w:rFonts w:ascii="仿宋" w:hAnsi="仿宋" w:eastAsia="仿宋" w:cs="Arial"/>
          <w:color w:val="auto"/>
          <w:kern w:val="0"/>
          <w:szCs w:val="21"/>
        </w:rPr>
      </w:pPr>
    </w:p>
    <w:tbl>
      <w:tblPr>
        <w:tblStyle w:val="6"/>
        <w:tblW w:w="14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638"/>
        <w:gridCol w:w="639"/>
        <w:gridCol w:w="851"/>
        <w:gridCol w:w="2268"/>
        <w:gridCol w:w="2268"/>
        <w:gridCol w:w="2268"/>
        <w:gridCol w:w="4666"/>
        <w:gridCol w:w="12"/>
      </w:tblGrid>
      <w:tr w14:paraId="3ABD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jc w:val="center"/>
        </w:trPr>
        <w:tc>
          <w:tcPr>
            <w:tcW w:w="532" w:type="dxa"/>
            <w:vMerge w:val="restart"/>
            <w:vAlign w:val="center"/>
          </w:tcPr>
          <w:p w14:paraId="3F80CBF8">
            <w:pPr>
              <w:widowControl/>
              <w:adjustRightInd w:val="0"/>
              <w:snapToGrid w:val="0"/>
              <w:jc w:val="both"/>
              <w:rPr>
                <w:rFonts w:hint="eastAsia" w:ascii="仿宋" w:hAnsi="仿宋" w:eastAsia="仿宋" w:cs="Arial"/>
                <w:b/>
                <w:color w:val="auto"/>
                <w:kern w:val="0"/>
                <w:szCs w:val="21"/>
              </w:rPr>
            </w:pPr>
            <w:r>
              <w:rPr>
                <w:rFonts w:hint="eastAsia" w:ascii="仿宋" w:hAnsi="仿宋" w:eastAsia="仿宋" w:cs="Arial"/>
                <w:b/>
                <w:color w:val="auto"/>
                <w:kern w:val="0"/>
                <w:szCs w:val="21"/>
              </w:rPr>
              <w:t>11</w:t>
            </w:r>
          </w:p>
          <w:p w14:paraId="66359A6A">
            <w:pPr>
              <w:widowControl/>
              <w:adjustRightInd w:val="0"/>
              <w:snapToGrid w:val="0"/>
              <w:jc w:val="both"/>
              <w:rPr>
                <w:rFonts w:ascii="仿宋" w:hAnsi="仿宋" w:eastAsia="仿宋" w:cs="Arial"/>
                <w:b/>
                <w:color w:val="auto"/>
                <w:kern w:val="0"/>
                <w:szCs w:val="21"/>
              </w:rPr>
            </w:pPr>
          </w:p>
        </w:tc>
        <w:tc>
          <w:tcPr>
            <w:tcW w:w="2128" w:type="dxa"/>
            <w:gridSpan w:val="3"/>
            <w:vAlign w:val="center"/>
          </w:tcPr>
          <w:p w14:paraId="0B979D11">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违法行为</w:t>
            </w:r>
          </w:p>
        </w:tc>
        <w:tc>
          <w:tcPr>
            <w:tcW w:w="11470" w:type="dxa"/>
            <w:gridSpan w:val="4"/>
            <w:vAlign w:val="center"/>
          </w:tcPr>
          <w:p w14:paraId="3B994C2E">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违反</w:t>
            </w:r>
            <w:r>
              <w:rPr>
                <w:rFonts w:hint="eastAsia" w:ascii="仿宋" w:hAnsi="仿宋" w:eastAsia="仿宋" w:cs="Arial"/>
                <w:b/>
                <w:bCs/>
                <w:color w:val="auto"/>
                <w:kern w:val="0"/>
                <w:szCs w:val="21"/>
                <w:lang w:eastAsia="zh-CN"/>
              </w:rPr>
              <w:t>《中华人民共和国药品管理法》</w:t>
            </w:r>
            <w:r>
              <w:rPr>
                <w:rFonts w:hint="eastAsia" w:ascii="仿宋" w:hAnsi="仿宋" w:eastAsia="仿宋" w:cs="Arial"/>
                <w:b/>
                <w:bCs/>
                <w:color w:val="auto"/>
                <w:kern w:val="0"/>
                <w:szCs w:val="21"/>
              </w:rPr>
              <w:t>第一百二十六条的行为</w:t>
            </w:r>
          </w:p>
        </w:tc>
      </w:tr>
      <w:tr w14:paraId="5F34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395" w:hRule="atLeast"/>
          <w:jc w:val="center"/>
        </w:trPr>
        <w:tc>
          <w:tcPr>
            <w:tcW w:w="532" w:type="dxa"/>
            <w:vMerge w:val="continue"/>
            <w:vAlign w:val="center"/>
          </w:tcPr>
          <w:p w14:paraId="6BE22477">
            <w:pPr>
              <w:widowControl/>
              <w:adjustRightInd w:val="0"/>
              <w:snapToGrid w:val="0"/>
              <w:jc w:val="both"/>
              <w:rPr>
                <w:rFonts w:ascii="仿宋" w:hAnsi="仿宋" w:eastAsia="仿宋" w:cs="Arial"/>
                <w:color w:val="auto"/>
                <w:kern w:val="0"/>
                <w:szCs w:val="21"/>
              </w:rPr>
            </w:pPr>
          </w:p>
        </w:tc>
        <w:tc>
          <w:tcPr>
            <w:tcW w:w="2128" w:type="dxa"/>
            <w:gridSpan w:val="3"/>
            <w:vAlign w:val="center"/>
          </w:tcPr>
          <w:p w14:paraId="1F81584B">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处罚依据</w:t>
            </w:r>
          </w:p>
        </w:tc>
        <w:tc>
          <w:tcPr>
            <w:tcW w:w="11470" w:type="dxa"/>
            <w:gridSpan w:val="4"/>
            <w:vAlign w:val="center"/>
          </w:tcPr>
          <w:p w14:paraId="5CFCB330">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lang w:eastAsia="zh-CN"/>
              </w:rPr>
              <w:t>《中华人民共和国药品管理法》</w:t>
            </w:r>
            <w:r>
              <w:rPr>
                <w:rFonts w:hint="eastAsia" w:ascii="仿宋" w:hAnsi="仿宋" w:eastAsia="仿宋" w:cs="Arial"/>
                <w:b/>
                <w:bCs/>
                <w:color w:val="auto"/>
                <w:kern w:val="0"/>
                <w:szCs w:val="21"/>
              </w:rPr>
              <w:t>第一百二十六条：</w:t>
            </w:r>
            <w:r>
              <w:rPr>
                <w:rFonts w:hint="eastAsia" w:ascii="仿宋" w:hAnsi="仿宋" w:eastAsia="仿宋" w:cs="Arial"/>
                <w:color w:val="auto"/>
                <w:kern w:val="0"/>
                <w:szCs w:val="21"/>
              </w:rPr>
              <w:t>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责令限期改正，给予警告；逾期不改正的，处十万元以上五十万元以下的罚款；情节严重的，处五十万元以上二百万元以下的罚款，责令停产停业整顿直至吊销药品批准证明文件、药品生产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处所获收入百分之十以上百分之五十以下的罚款，十年直至终身禁止从事药品生产经营等活动。</w:t>
            </w:r>
          </w:p>
          <w:p w14:paraId="4D085306">
            <w:pPr>
              <w:adjustRightInd w:val="0"/>
              <w:snapToGrid w:val="0"/>
              <w:jc w:val="both"/>
              <w:rPr>
                <w:rFonts w:ascii="仿宋" w:hAnsi="仿宋" w:eastAsia="仿宋" w:cs="Times New Roman"/>
                <w:color w:val="auto"/>
                <w:szCs w:val="21"/>
              </w:rPr>
            </w:pPr>
            <w:r>
              <w:rPr>
                <w:rFonts w:hint="eastAsia" w:ascii="仿宋" w:hAnsi="仿宋" w:eastAsia="仿宋" w:cs="Times New Roman"/>
                <w:color w:val="auto"/>
                <w:szCs w:val="21"/>
              </w:rPr>
              <w:t>《药品注册管理办法》第一百一十三条：在药品注册过程中，药物非临床安全性评价研究机构、药物临床试验机构等，未按照规定遵守药物非临床研究质量管理规范、药物临床试验质量管理规范等的，按照</w:t>
            </w:r>
            <w:r>
              <w:rPr>
                <w:rFonts w:hint="eastAsia" w:ascii="仿宋" w:hAnsi="仿宋" w:eastAsia="仿宋" w:cs="Times New Roman"/>
                <w:color w:val="auto"/>
                <w:szCs w:val="21"/>
                <w:lang w:eastAsia="zh-CN"/>
              </w:rPr>
              <w:t>《中华人民共和国药品管理法》</w:t>
            </w:r>
            <w:r>
              <w:rPr>
                <w:rFonts w:hint="eastAsia" w:ascii="仿宋" w:hAnsi="仿宋" w:eastAsia="仿宋" w:cs="Times New Roman"/>
                <w:color w:val="auto"/>
                <w:szCs w:val="21"/>
              </w:rPr>
              <w:t>第一百二十六条处理。</w:t>
            </w:r>
          </w:p>
          <w:p w14:paraId="27DDBDAC">
            <w:pPr>
              <w:adjustRightInd w:val="0"/>
              <w:snapToGrid w:val="0"/>
              <w:jc w:val="both"/>
              <w:rPr>
                <w:rFonts w:ascii="仿宋" w:hAnsi="仿宋" w:eastAsia="仿宋" w:cs="Arial"/>
                <w:color w:val="auto"/>
                <w:kern w:val="0"/>
                <w:szCs w:val="21"/>
              </w:rPr>
            </w:pPr>
            <w:r>
              <w:rPr>
                <w:rFonts w:hint="eastAsia" w:ascii="仿宋" w:hAnsi="仿宋" w:eastAsia="仿宋" w:cs="Times New Roman"/>
                <w:color w:val="auto"/>
                <w:szCs w:val="21"/>
              </w:rPr>
              <w:t>《药品生产监督管理办法》第七十条：</w:t>
            </w:r>
            <w:r>
              <w:rPr>
                <w:rFonts w:hint="eastAsia" w:ascii="仿宋" w:hAnsi="仿宋" w:eastAsia="仿宋" w:cs="Arial"/>
                <w:color w:val="auto"/>
                <w:kern w:val="0"/>
                <w:szCs w:val="21"/>
              </w:rPr>
              <w:t>辅料、直接接触药品的包装材料和容器的生产企业及供应商未遵守国家药品监督管理局制定的质量管理规范等相关要求，不能确保质量保证体系持续合规的，由所在地省、自治区、直辖市药品监督管理部门按照</w:t>
            </w:r>
            <w:r>
              <w:rPr>
                <w:rFonts w:hint="eastAsia" w:ascii="仿宋" w:hAnsi="仿宋" w:eastAsia="仿宋" w:cs="Arial"/>
                <w:color w:val="auto"/>
                <w:kern w:val="0"/>
                <w:szCs w:val="21"/>
                <w:lang w:eastAsia="zh-CN"/>
              </w:rPr>
              <w:t>《中华人民共和国药品管理法》</w:t>
            </w:r>
            <w:r>
              <w:rPr>
                <w:rFonts w:hint="eastAsia" w:ascii="仿宋" w:hAnsi="仿宋" w:eastAsia="仿宋" w:cs="Arial"/>
                <w:color w:val="auto"/>
                <w:kern w:val="0"/>
                <w:szCs w:val="21"/>
              </w:rPr>
              <w:t>第一百二十六条的规定给予处罚。</w:t>
            </w:r>
          </w:p>
        </w:tc>
      </w:tr>
      <w:tr w14:paraId="290D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510" w:hRule="atLeast"/>
          <w:jc w:val="center"/>
        </w:trPr>
        <w:tc>
          <w:tcPr>
            <w:tcW w:w="532" w:type="dxa"/>
            <w:vMerge w:val="continue"/>
            <w:vAlign w:val="center"/>
          </w:tcPr>
          <w:p w14:paraId="621B4132">
            <w:pPr>
              <w:widowControl/>
              <w:adjustRightInd w:val="0"/>
              <w:snapToGrid w:val="0"/>
              <w:jc w:val="both"/>
              <w:rPr>
                <w:rFonts w:ascii="仿宋" w:hAnsi="仿宋" w:eastAsia="仿宋" w:cs="Arial"/>
                <w:color w:val="auto"/>
                <w:kern w:val="0"/>
                <w:szCs w:val="21"/>
              </w:rPr>
            </w:pPr>
          </w:p>
        </w:tc>
        <w:tc>
          <w:tcPr>
            <w:tcW w:w="2128" w:type="dxa"/>
            <w:gridSpan w:val="3"/>
            <w:vAlign w:val="center"/>
          </w:tcPr>
          <w:p w14:paraId="46F983FC">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裁量等级</w:t>
            </w:r>
          </w:p>
        </w:tc>
        <w:tc>
          <w:tcPr>
            <w:tcW w:w="2268" w:type="dxa"/>
            <w:vAlign w:val="center"/>
          </w:tcPr>
          <w:p w14:paraId="748CF7FE">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减轻</w:t>
            </w:r>
          </w:p>
        </w:tc>
        <w:tc>
          <w:tcPr>
            <w:tcW w:w="2268" w:type="dxa"/>
            <w:vAlign w:val="center"/>
          </w:tcPr>
          <w:p w14:paraId="521A3D2F">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从轻</w:t>
            </w:r>
          </w:p>
        </w:tc>
        <w:tc>
          <w:tcPr>
            <w:tcW w:w="2268" w:type="dxa"/>
            <w:vAlign w:val="center"/>
          </w:tcPr>
          <w:p w14:paraId="72EECCA2">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一般</w:t>
            </w:r>
          </w:p>
        </w:tc>
        <w:tc>
          <w:tcPr>
            <w:tcW w:w="4666" w:type="dxa"/>
            <w:vAlign w:val="center"/>
          </w:tcPr>
          <w:p w14:paraId="56D82012">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从重</w:t>
            </w:r>
          </w:p>
        </w:tc>
      </w:tr>
      <w:tr w14:paraId="01D9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772" w:hRule="atLeast"/>
          <w:jc w:val="center"/>
        </w:trPr>
        <w:tc>
          <w:tcPr>
            <w:tcW w:w="532" w:type="dxa"/>
            <w:vMerge w:val="continue"/>
            <w:vAlign w:val="center"/>
          </w:tcPr>
          <w:p w14:paraId="4EDDE9E7">
            <w:pPr>
              <w:widowControl/>
              <w:adjustRightInd w:val="0"/>
              <w:snapToGrid w:val="0"/>
              <w:jc w:val="both"/>
              <w:rPr>
                <w:rFonts w:ascii="仿宋" w:hAnsi="仿宋" w:eastAsia="仿宋" w:cs="Arial"/>
                <w:color w:val="auto"/>
                <w:kern w:val="0"/>
                <w:szCs w:val="21"/>
              </w:rPr>
            </w:pPr>
          </w:p>
        </w:tc>
        <w:tc>
          <w:tcPr>
            <w:tcW w:w="2128" w:type="dxa"/>
            <w:gridSpan w:val="3"/>
            <w:vAlign w:val="center"/>
          </w:tcPr>
          <w:p w14:paraId="4CC0F86D">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裁量情节</w:t>
            </w:r>
          </w:p>
        </w:tc>
        <w:tc>
          <w:tcPr>
            <w:tcW w:w="2268" w:type="dxa"/>
            <w:vAlign w:val="center"/>
          </w:tcPr>
          <w:p w14:paraId="12378165">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符合裁量规则减轻行政处罚情形的。</w:t>
            </w:r>
          </w:p>
        </w:tc>
        <w:tc>
          <w:tcPr>
            <w:tcW w:w="2268" w:type="dxa"/>
            <w:vAlign w:val="center"/>
          </w:tcPr>
          <w:p w14:paraId="3CFDD905">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符合裁量规则从轻行政处罚情形的。</w:t>
            </w:r>
          </w:p>
        </w:tc>
        <w:tc>
          <w:tcPr>
            <w:tcW w:w="2268" w:type="dxa"/>
            <w:vAlign w:val="center"/>
          </w:tcPr>
          <w:p w14:paraId="0FB093FC">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符合裁量规则一般行政处罚情形的。</w:t>
            </w:r>
          </w:p>
        </w:tc>
        <w:tc>
          <w:tcPr>
            <w:tcW w:w="4666" w:type="dxa"/>
            <w:vAlign w:val="center"/>
          </w:tcPr>
          <w:p w14:paraId="64A3364A">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（一）不按照法定条件、要求从事生产经营活动或者生产、销售不符合法定要求的产品，造成严重后果的；</w:t>
            </w:r>
          </w:p>
          <w:p w14:paraId="699802B0">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（二）两年内实施同一性质违法行为被行政处罚过的；</w:t>
            </w:r>
          </w:p>
          <w:p w14:paraId="7DA9FE33">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（三）拒不采取改正、应急或者召回等措施，导致后果扩大的；</w:t>
            </w:r>
          </w:p>
          <w:p w14:paraId="70EF296F">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（四）许可证或者产品批准证明文件被撤销、吊销或者宣告无效后，仍然从事生产或者经营活动的；</w:t>
            </w:r>
          </w:p>
          <w:p w14:paraId="477C291A">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（五）其他符合裁量规则从重行政处罚情形的。</w:t>
            </w:r>
          </w:p>
        </w:tc>
      </w:tr>
      <w:tr w14:paraId="1F46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532" w:type="dxa"/>
            <w:vMerge w:val="continue"/>
            <w:vAlign w:val="center"/>
          </w:tcPr>
          <w:p w14:paraId="7D6A3AE1">
            <w:pPr>
              <w:widowControl/>
              <w:adjustRightInd w:val="0"/>
              <w:snapToGrid w:val="0"/>
              <w:jc w:val="both"/>
              <w:rPr>
                <w:rFonts w:ascii="仿宋" w:hAnsi="仿宋" w:eastAsia="仿宋" w:cs="Arial"/>
                <w:b/>
                <w:color w:val="auto"/>
                <w:kern w:val="0"/>
                <w:szCs w:val="21"/>
              </w:rPr>
            </w:pPr>
          </w:p>
        </w:tc>
        <w:tc>
          <w:tcPr>
            <w:tcW w:w="638" w:type="dxa"/>
            <w:vMerge w:val="restart"/>
            <w:vAlign w:val="center"/>
          </w:tcPr>
          <w:p w14:paraId="76720C34">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裁量</w:t>
            </w:r>
          </w:p>
          <w:p w14:paraId="4A97BB70">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基准</w:t>
            </w:r>
          </w:p>
        </w:tc>
        <w:tc>
          <w:tcPr>
            <w:tcW w:w="1490" w:type="dxa"/>
            <w:gridSpan w:val="2"/>
            <w:vMerge w:val="restart"/>
            <w:vAlign w:val="center"/>
          </w:tcPr>
          <w:p w14:paraId="3CD8B278">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一般情形</w:t>
            </w:r>
          </w:p>
        </w:tc>
        <w:tc>
          <w:tcPr>
            <w:tcW w:w="2268" w:type="dxa"/>
            <w:vAlign w:val="center"/>
          </w:tcPr>
          <w:p w14:paraId="26E44357">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责令限期改正，给予警告。</w:t>
            </w:r>
          </w:p>
        </w:tc>
        <w:tc>
          <w:tcPr>
            <w:tcW w:w="2268" w:type="dxa"/>
            <w:vAlign w:val="center"/>
          </w:tcPr>
          <w:p w14:paraId="5DC9064F">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责令限期改正，给予警告。</w:t>
            </w:r>
          </w:p>
        </w:tc>
        <w:tc>
          <w:tcPr>
            <w:tcW w:w="2268" w:type="dxa"/>
            <w:vAlign w:val="center"/>
          </w:tcPr>
          <w:p w14:paraId="2BE610AB">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责令限期改正，给予警告。</w:t>
            </w:r>
          </w:p>
        </w:tc>
        <w:tc>
          <w:tcPr>
            <w:tcW w:w="4678" w:type="dxa"/>
            <w:gridSpan w:val="2"/>
            <w:vAlign w:val="center"/>
          </w:tcPr>
          <w:p w14:paraId="3F380E5C">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责令限期改正，给予警告。</w:t>
            </w:r>
          </w:p>
        </w:tc>
      </w:tr>
      <w:tr w14:paraId="6E86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532" w:type="dxa"/>
            <w:vMerge w:val="continue"/>
            <w:vAlign w:val="center"/>
          </w:tcPr>
          <w:p w14:paraId="2C217442">
            <w:pPr>
              <w:widowControl/>
              <w:adjustRightInd w:val="0"/>
              <w:snapToGrid w:val="0"/>
              <w:jc w:val="both"/>
              <w:rPr>
                <w:rFonts w:ascii="仿宋" w:hAnsi="仿宋" w:eastAsia="仿宋" w:cs="Arial"/>
                <w:color w:val="auto"/>
                <w:kern w:val="0"/>
                <w:szCs w:val="21"/>
              </w:rPr>
            </w:pPr>
          </w:p>
        </w:tc>
        <w:tc>
          <w:tcPr>
            <w:tcW w:w="638" w:type="dxa"/>
            <w:vMerge w:val="continue"/>
            <w:vAlign w:val="center"/>
          </w:tcPr>
          <w:p w14:paraId="1F9DE8D4">
            <w:pPr>
              <w:widowControl/>
              <w:adjustRightInd w:val="0"/>
              <w:snapToGrid w:val="0"/>
              <w:jc w:val="both"/>
              <w:rPr>
                <w:rFonts w:ascii="仿宋" w:hAnsi="仿宋" w:eastAsia="仿宋" w:cs="Arial"/>
                <w:color w:val="auto"/>
                <w:kern w:val="0"/>
                <w:szCs w:val="21"/>
              </w:rPr>
            </w:pPr>
          </w:p>
        </w:tc>
        <w:tc>
          <w:tcPr>
            <w:tcW w:w="1490" w:type="dxa"/>
            <w:gridSpan w:val="2"/>
            <w:vMerge w:val="continue"/>
            <w:vAlign w:val="center"/>
          </w:tcPr>
          <w:p w14:paraId="6C562356">
            <w:pPr>
              <w:widowControl/>
              <w:adjustRightInd w:val="0"/>
              <w:snapToGrid w:val="0"/>
              <w:jc w:val="both"/>
              <w:rPr>
                <w:rFonts w:ascii="仿宋" w:hAnsi="仿宋" w:eastAsia="仿宋" w:cs="Arial"/>
                <w:color w:val="auto"/>
                <w:kern w:val="0"/>
                <w:szCs w:val="21"/>
              </w:rPr>
            </w:pPr>
          </w:p>
        </w:tc>
        <w:tc>
          <w:tcPr>
            <w:tcW w:w="2268" w:type="dxa"/>
            <w:vAlign w:val="center"/>
          </w:tcPr>
          <w:p w14:paraId="3F67F730">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逾期不改正的，处1万元以上10万元以下的罚款。</w:t>
            </w:r>
          </w:p>
        </w:tc>
        <w:tc>
          <w:tcPr>
            <w:tcW w:w="2268" w:type="dxa"/>
            <w:vAlign w:val="center"/>
          </w:tcPr>
          <w:p w14:paraId="45222BF5">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逾期不改正的，处10万元以上22万元以下的罚款。</w:t>
            </w:r>
          </w:p>
        </w:tc>
        <w:tc>
          <w:tcPr>
            <w:tcW w:w="2268" w:type="dxa"/>
            <w:vAlign w:val="center"/>
          </w:tcPr>
          <w:p w14:paraId="176BF477">
            <w:pPr>
              <w:widowControl/>
              <w:adjustRightInd w:val="0"/>
              <w:snapToGrid w:val="0"/>
              <w:ind w:left="105"/>
              <w:jc w:val="both"/>
              <w:rPr>
                <w:rFonts w:ascii="仿宋" w:hAnsi="仿宋" w:eastAsia="仿宋" w:cs="Arial"/>
                <w:color w:val="auto"/>
                <w:kern w:val="0"/>
                <w:szCs w:val="21"/>
              </w:rPr>
            </w:pPr>
            <w:r>
              <w:rPr>
                <w:rFonts w:hint="eastAsia" w:ascii="仿宋" w:hAnsi="仿宋" w:eastAsia="仿宋" w:cs="Arial"/>
                <w:color w:val="auto"/>
                <w:kern w:val="0"/>
                <w:szCs w:val="21"/>
              </w:rPr>
              <w:t>逾期不改正的，处22万元以上38万元以下的罚款。</w:t>
            </w:r>
          </w:p>
        </w:tc>
        <w:tc>
          <w:tcPr>
            <w:tcW w:w="4678" w:type="dxa"/>
            <w:gridSpan w:val="2"/>
            <w:vAlign w:val="center"/>
          </w:tcPr>
          <w:p w14:paraId="50828254">
            <w:pPr>
              <w:widowControl/>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逾期不改正的，处38万元以上50万元以下的罚款。</w:t>
            </w:r>
          </w:p>
        </w:tc>
      </w:tr>
      <w:tr w14:paraId="4CC4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jc w:val="center"/>
        </w:trPr>
        <w:tc>
          <w:tcPr>
            <w:tcW w:w="532" w:type="dxa"/>
            <w:vMerge w:val="continue"/>
            <w:vAlign w:val="center"/>
          </w:tcPr>
          <w:p w14:paraId="733D8EF3">
            <w:pPr>
              <w:widowControl/>
              <w:adjustRightInd w:val="0"/>
              <w:snapToGrid w:val="0"/>
              <w:jc w:val="both"/>
              <w:rPr>
                <w:rFonts w:ascii="仿宋" w:hAnsi="仿宋" w:eastAsia="仿宋" w:cs="Arial"/>
                <w:color w:val="auto"/>
                <w:kern w:val="0"/>
                <w:szCs w:val="21"/>
              </w:rPr>
            </w:pPr>
          </w:p>
        </w:tc>
        <w:tc>
          <w:tcPr>
            <w:tcW w:w="638" w:type="dxa"/>
            <w:vMerge w:val="continue"/>
            <w:vAlign w:val="center"/>
          </w:tcPr>
          <w:p w14:paraId="48EFA4A3">
            <w:pPr>
              <w:widowControl/>
              <w:adjustRightInd w:val="0"/>
              <w:snapToGrid w:val="0"/>
              <w:jc w:val="both"/>
              <w:rPr>
                <w:rFonts w:ascii="仿宋" w:hAnsi="仿宋" w:eastAsia="仿宋" w:cs="Arial"/>
                <w:color w:val="auto"/>
                <w:kern w:val="0"/>
                <w:szCs w:val="21"/>
              </w:rPr>
            </w:pPr>
          </w:p>
        </w:tc>
        <w:tc>
          <w:tcPr>
            <w:tcW w:w="639" w:type="dxa"/>
            <w:vMerge w:val="restart"/>
            <w:vAlign w:val="center"/>
          </w:tcPr>
          <w:p w14:paraId="3E81956E">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情节严重</w:t>
            </w:r>
          </w:p>
        </w:tc>
        <w:tc>
          <w:tcPr>
            <w:tcW w:w="851" w:type="dxa"/>
            <w:vAlign w:val="center"/>
          </w:tcPr>
          <w:p w14:paraId="4E3C8445">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对单位的处罚</w:t>
            </w:r>
          </w:p>
        </w:tc>
        <w:tc>
          <w:tcPr>
            <w:tcW w:w="2268" w:type="dxa"/>
            <w:vAlign w:val="center"/>
          </w:tcPr>
          <w:p w14:paraId="73AA3855">
            <w:pPr>
              <w:widowControl/>
              <w:adjustRightInd w:val="0"/>
              <w:snapToGrid w:val="0"/>
              <w:jc w:val="both"/>
              <w:rPr>
                <w:rFonts w:ascii="仿宋" w:hAnsi="仿宋" w:eastAsia="仿宋" w:cs="Arial"/>
                <w:color w:val="auto"/>
                <w:kern w:val="0"/>
                <w:szCs w:val="21"/>
              </w:rPr>
            </w:pPr>
          </w:p>
        </w:tc>
        <w:tc>
          <w:tcPr>
            <w:tcW w:w="2268" w:type="dxa"/>
            <w:vAlign w:val="center"/>
          </w:tcPr>
          <w:p w14:paraId="45C24936">
            <w:pPr>
              <w:widowControl/>
              <w:numPr>
                <w:ilvl w:val="0"/>
                <w:numId w:val="1"/>
              </w:numPr>
              <w:adjustRightInd w:val="0"/>
              <w:snapToGrid w:val="0"/>
              <w:jc w:val="both"/>
              <w:rPr>
                <w:rFonts w:hint="eastAsia" w:ascii="仿宋" w:hAnsi="仿宋" w:eastAsia="仿宋" w:cs="Arial"/>
                <w:color w:val="auto"/>
                <w:kern w:val="0"/>
                <w:szCs w:val="21"/>
                <w:lang w:eastAsia="zh-CN"/>
              </w:rPr>
            </w:pPr>
            <w:r>
              <w:rPr>
                <w:rFonts w:hint="eastAsia" w:ascii="仿宋" w:hAnsi="仿宋" w:eastAsia="仿宋" w:cs="Arial"/>
                <w:color w:val="auto"/>
                <w:kern w:val="0"/>
                <w:szCs w:val="21"/>
              </w:rPr>
              <w:t>责令限期改正，给予警告</w:t>
            </w:r>
            <w:r>
              <w:rPr>
                <w:rFonts w:hint="eastAsia" w:ascii="仿宋" w:hAnsi="仿宋" w:eastAsia="仿宋" w:cs="Arial"/>
                <w:color w:val="auto"/>
                <w:kern w:val="0"/>
                <w:szCs w:val="21"/>
                <w:lang w:eastAsia="zh-CN"/>
              </w:rPr>
              <w:t>；</w:t>
            </w:r>
          </w:p>
          <w:p w14:paraId="1FFD9ED3">
            <w:pPr>
              <w:widowControl/>
              <w:numPr>
                <w:ilvl w:val="0"/>
                <w:numId w:val="1"/>
              </w:numPr>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处50万元以上95万元以下的罚款：</w:t>
            </w:r>
          </w:p>
          <w:p w14:paraId="2B7090FC">
            <w:pPr>
              <w:widowControl/>
              <w:numPr>
                <w:ilvl w:val="0"/>
                <w:numId w:val="1"/>
              </w:numPr>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rPr>
              <w:t>责令停产停业整顿；</w:t>
            </w:r>
          </w:p>
          <w:p w14:paraId="27808C95">
            <w:pPr>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lang w:val="en-US" w:eastAsia="zh-CN"/>
              </w:rPr>
              <w:t>4</w:t>
            </w:r>
            <w:r>
              <w:rPr>
                <w:rFonts w:hint="eastAsia" w:ascii="仿宋" w:hAnsi="仿宋" w:eastAsia="仿宋" w:cs="Arial"/>
                <w:b/>
                <w:bCs/>
                <w:color w:val="auto"/>
                <w:kern w:val="0"/>
                <w:szCs w:val="21"/>
              </w:rPr>
              <w:t>.</w:t>
            </w:r>
            <w:r>
              <w:rPr>
                <w:rFonts w:hint="eastAsia" w:ascii="仿宋" w:hAnsi="仿宋" w:eastAsia="仿宋" w:cs="Arial"/>
                <w:color w:val="auto"/>
                <w:kern w:val="0"/>
                <w:szCs w:val="21"/>
              </w:rPr>
              <w:t>药物非临床安全性评价研究机构、药物临床试验机构等五年内不得开展药物非临床安全性评价研究、药物临床试验。</w:t>
            </w:r>
          </w:p>
        </w:tc>
        <w:tc>
          <w:tcPr>
            <w:tcW w:w="2268" w:type="dxa"/>
            <w:vAlign w:val="center"/>
          </w:tcPr>
          <w:p w14:paraId="35190B80">
            <w:pPr>
              <w:widowControl/>
              <w:adjustRightInd w:val="0"/>
              <w:snapToGrid w:val="0"/>
              <w:jc w:val="both"/>
              <w:rPr>
                <w:rFonts w:hint="eastAsia" w:ascii="仿宋" w:hAnsi="仿宋" w:eastAsia="仿宋" w:cs="Arial"/>
                <w:color w:val="auto"/>
                <w:kern w:val="0"/>
                <w:szCs w:val="21"/>
                <w:lang w:eastAsia="zh-CN"/>
              </w:rPr>
            </w:pPr>
            <w:r>
              <w:rPr>
                <w:rFonts w:hint="eastAsia" w:ascii="仿宋" w:hAnsi="仿宋" w:eastAsia="仿宋" w:cs="Arial"/>
                <w:color w:val="auto"/>
                <w:kern w:val="0"/>
                <w:szCs w:val="21"/>
                <w:lang w:val="en-US" w:eastAsia="zh-CN"/>
              </w:rPr>
              <w:t>1.</w:t>
            </w:r>
            <w:r>
              <w:rPr>
                <w:rFonts w:hint="eastAsia" w:ascii="仿宋" w:hAnsi="仿宋" w:eastAsia="仿宋" w:cs="Arial"/>
                <w:color w:val="auto"/>
                <w:kern w:val="0"/>
                <w:szCs w:val="21"/>
              </w:rPr>
              <w:t>责令限期改正，给予警告</w:t>
            </w:r>
            <w:r>
              <w:rPr>
                <w:rFonts w:hint="eastAsia" w:ascii="仿宋" w:hAnsi="仿宋" w:eastAsia="仿宋" w:cs="Arial"/>
                <w:color w:val="auto"/>
                <w:kern w:val="0"/>
                <w:szCs w:val="21"/>
                <w:lang w:eastAsia="zh-CN"/>
              </w:rPr>
              <w:t>；</w:t>
            </w:r>
          </w:p>
          <w:p w14:paraId="5D9FBA6B">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lang w:val="en-US" w:eastAsia="zh-CN"/>
              </w:rPr>
              <w:t>2</w:t>
            </w:r>
            <w:r>
              <w:rPr>
                <w:rFonts w:hint="eastAsia" w:ascii="仿宋" w:hAnsi="仿宋" w:eastAsia="仿宋" w:cs="Arial"/>
                <w:b/>
                <w:bCs/>
                <w:color w:val="auto"/>
                <w:kern w:val="0"/>
                <w:szCs w:val="21"/>
              </w:rPr>
              <w:t>.</w:t>
            </w:r>
            <w:r>
              <w:rPr>
                <w:rFonts w:hint="eastAsia" w:ascii="仿宋" w:hAnsi="仿宋" w:eastAsia="仿宋" w:cs="Arial"/>
                <w:color w:val="auto"/>
                <w:kern w:val="0"/>
                <w:szCs w:val="21"/>
              </w:rPr>
              <w:t>95万元以上155元以下的罚款；</w:t>
            </w:r>
          </w:p>
          <w:p w14:paraId="5141F73F">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lang w:val="en-US" w:eastAsia="zh-CN"/>
              </w:rPr>
              <w:t>3</w:t>
            </w:r>
            <w:r>
              <w:rPr>
                <w:rFonts w:hint="eastAsia" w:ascii="仿宋" w:hAnsi="仿宋" w:eastAsia="仿宋" w:cs="Arial"/>
                <w:b/>
                <w:bCs/>
                <w:color w:val="auto"/>
                <w:kern w:val="0"/>
                <w:szCs w:val="21"/>
              </w:rPr>
              <w:t>.</w:t>
            </w:r>
            <w:r>
              <w:rPr>
                <w:rFonts w:hint="eastAsia" w:ascii="仿宋" w:hAnsi="仿宋" w:eastAsia="仿宋" w:cs="Arial"/>
                <w:color w:val="auto"/>
                <w:kern w:val="0"/>
                <w:szCs w:val="21"/>
              </w:rPr>
              <w:t>责令</w:t>
            </w:r>
            <w:r>
              <w:rPr>
                <w:rFonts w:hint="eastAsia" w:ascii="仿宋" w:hAnsi="仿宋" w:eastAsia="仿宋" w:cs="Arial"/>
                <w:color w:val="auto"/>
                <w:kern w:val="0"/>
                <w:szCs w:val="21"/>
                <w:lang w:eastAsia="zh-CN"/>
              </w:rPr>
              <w:t>关闭、暂扣许可证件等</w:t>
            </w:r>
            <w:r>
              <w:rPr>
                <w:rFonts w:hint="eastAsia" w:ascii="仿宋" w:hAnsi="仿宋" w:eastAsia="仿宋" w:cs="Arial"/>
                <w:color w:val="auto"/>
                <w:kern w:val="0"/>
                <w:szCs w:val="21"/>
              </w:rPr>
              <w:t>；</w:t>
            </w:r>
          </w:p>
          <w:p w14:paraId="508EE1E7">
            <w:pPr>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lang w:val="en-US" w:eastAsia="zh-CN"/>
              </w:rPr>
              <w:t>4</w:t>
            </w:r>
            <w:r>
              <w:rPr>
                <w:rFonts w:hint="eastAsia" w:ascii="仿宋" w:hAnsi="仿宋" w:eastAsia="仿宋" w:cs="Arial"/>
                <w:b/>
                <w:bCs/>
                <w:color w:val="auto"/>
                <w:kern w:val="0"/>
                <w:szCs w:val="21"/>
              </w:rPr>
              <w:t>.</w:t>
            </w:r>
            <w:r>
              <w:rPr>
                <w:rFonts w:hint="eastAsia" w:ascii="仿宋" w:hAnsi="仿宋" w:eastAsia="仿宋" w:cs="Arial"/>
                <w:color w:val="auto"/>
                <w:kern w:val="0"/>
                <w:szCs w:val="21"/>
              </w:rPr>
              <w:t>药物非临床安全性评价研究机构、药物临床试验机构等五年内不得开展药物非临床安全性评价研究、药物临床试验。</w:t>
            </w:r>
          </w:p>
        </w:tc>
        <w:tc>
          <w:tcPr>
            <w:tcW w:w="4678" w:type="dxa"/>
            <w:gridSpan w:val="2"/>
            <w:vAlign w:val="center"/>
          </w:tcPr>
          <w:p w14:paraId="62047F5F">
            <w:pPr>
              <w:widowControl/>
              <w:adjustRightInd w:val="0"/>
              <w:snapToGrid w:val="0"/>
              <w:jc w:val="both"/>
              <w:rPr>
                <w:rFonts w:hint="eastAsia" w:ascii="仿宋" w:hAnsi="仿宋" w:eastAsia="仿宋" w:cs="Arial"/>
                <w:color w:val="auto"/>
                <w:kern w:val="0"/>
                <w:szCs w:val="21"/>
                <w:lang w:eastAsia="zh-CN"/>
              </w:rPr>
            </w:pPr>
            <w:r>
              <w:rPr>
                <w:rFonts w:hint="eastAsia" w:ascii="仿宋" w:hAnsi="仿宋" w:eastAsia="仿宋" w:cs="Arial"/>
                <w:color w:val="auto"/>
                <w:kern w:val="0"/>
                <w:szCs w:val="21"/>
                <w:lang w:val="en-US" w:eastAsia="zh-CN"/>
              </w:rPr>
              <w:t>1.</w:t>
            </w:r>
            <w:r>
              <w:rPr>
                <w:rFonts w:hint="eastAsia" w:ascii="仿宋" w:hAnsi="仿宋" w:eastAsia="仿宋" w:cs="Arial"/>
                <w:color w:val="auto"/>
                <w:kern w:val="0"/>
                <w:szCs w:val="21"/>
              </w:rPr>
              <w:t>责令限期改正，给予警告</w:t>
            </w:r>
            <w:r>
              <w:rPr>
                <w:rFonts w:hint="eastAsia" w:ascii="仿宋" w:hAnsi="仿宋" w:eastAsia="仿宋" w:cs="Arial"/>
                <w:color w:val="auto"/>
                <w:kern w:val="0"/>
                <w:szCs w:val="21"/>
                <w:lang w:eastAsia="zh-CN"/>
              </w:rPr>
              <w:t>；</w:t>
            </w:r>
          </w:p>
          <w:p w14:paraId="2551FD7A">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lang w:val="en-US" w:eastAsia="zh-CN"/>
              </w:rPr>
              <w:t>2</w:t>
            </w:r>
            <w:r>
              <w:rPr>
                <w:rFonts w:hint="eastAsia" w:ascii="仿宋" w:hAnsi="仿宋" w:eastAsia="仿宋" w:cs="Arial"/>
                <w:b/>
                <w:bCs/>
                <w:color w:val="auto"/>
                <w:kern w:val="0"/>
                <w:szCs w:val="21"/>
              </w:rPr>
              <w:t>.</w:t>
            </w:r>
            <w:r>
              <w:rPr>
                <w:rFonts w:hint="eastAsia" w:ascii="仿宋" w:hAnsi="仿宋" w:eastAsia="仿宋" w:cs="Arial"/>
                <w:color w:val="auto"/>
                <w:kern w:val="0"/>
                <w:szCs w:val="21"/>
              </w:rPr>
              <w:t>处1</w:t>
            </w:r>
            <w:r>
              <w:rPr>
                <w:rFonts w:hint="eastAsia" w:ascii="仿宋" w:hAnsi="仿宋" w:eastAsia="仿宋" w:cs="Arial"/>
                <w:color w:val="auto"/>
                <w:kern w:val="0"/>
                <w:szCs w:val="21"/>
                <w:lang w:val="en-US" w:eastAsia="zh-CN"/>
              </w:rPr>
              <w:t>55</w:t>
            </w:r>
            <w:r>
              <w:rPr>
                <w:rFonts w:hint="eastAsia" w:ascii="仿宋" w:hAnsi="仿宋" w:eastAsia="仿宋" w:cs="Arial"/>
                <w:color w:val="auto"/>
                <w:kern w:val="0"/>
                <w:szCs w:val="21"/>
              </w:rPr>
              <w:t>万元以上200万元以下的罚款，</w:t>
            </w:r>
          </w:p>
          <w:p w14:paraId="1FD7EA89">
            <w:pPr>
              <w:adjustRightInd w:val="0"/>
              <w:snapToGrid w:val="0"/>
              <w:jc w:val="both"/>
              <w:rPr>
                <w:rFonts w:hint="eastAsia" w:ascii="仿宋" w:hAnsi="仿宋" w:eastAsia="仿宋" w:cs="Arial"/>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吊销药品批准证明文件、药品生产许可证、药品经营许可证；</w:t>
            </w:r>
          </w:p>
          <w:p w14:paraId="28141EC6">
            <w:pPr>
              <w:adjustRightInd w:val="0"/>
              <w:snapToGrid w:val="0"/>
              <w:jc w:val="both"/>
              <w:rPr>
                <w:rFonts w:ascii="仿宋" w:hAnsi="仿宋" w:eastAsia="仿宋" w:cs="Arial"/>
                <w:color w:val="auto"/>
                <w:kern w:val="0"/>
                <w:szCs w:val="21"/>
              </w:rPr>
            </w:pPr>
            <w:r>
              <w:rPr>
                <w:rFonts w:hint="eastAsia" w:ascii="仿宋" w:hAnsi="仿宋" w:eastAsia="仿宋" w:cs="Arial"/>
                <w:color w:val="auto"/>
                <w:kern w:val="0"/>
                <w:szCs w:val="21"/>
                <w:lang w:val="en-US" w:eastAsia="zh-CN"/>
              </w:rPr>
              <w:t>4.</w:t>
            </w:r>
            <w:r>
              <w:rPr>
                <w:rFonts w:hint="eastAsia" w:ascii="仿宋" w:hAnsi="仿宋" w:eastAsia="仿宋" w:cs="Arial"/>
                <w:color w:val="auto"/>
                <w:kern w:val="0"/>
                <w:szCs w:val="21"/>
              </w:rPr>
              <w:t>药物非临床安全性评价研究机构、药物临床试验机构等五年内不得开展药物非临床安全性评价研究、药物临床试验。</w:t>
            </w:r>
          </w:p>
        </w:tc>
      </w:tr>
      <w:tr w14:paraId="7E22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2" w:hRule="atLeast"/>
          <w:jc w:val="center"/>
        </w:trPr>
        <w:tc>
          <w:tcPr>
            <w:tcW w:w="532" w:type="dxa"/>
            <w:vMerge w:val="continue"/>
            <w:vAlign w:val="center"/>
          </w:tcPr>
          <w:p w14:paraId="1A9C5CAD">
            <w:pPr>
              <w:widowControl/>
              <w:adjustRightInd w:val="0"/>
              <w:snapToGrid w:val="0"/>
              <w:jc w:val="both"/>
              <w:rPr>
                <w:rFonts w:ascii="仿宋" w:hAnsi="仿宋" w:eastAsia="仿宋" w:cs="宋体"/>
                <w:color w:val="auto"/>
                <w:kern w:val="0"/>
                <w:szCs w:val="21"/>
              </w:rPr>
            </w:pPr>
          </w:p>
        </w:tc>
        <w:tc>
          <w:tcPr>
            <w:tcW w:w="638" w:type="dxa"/>
            <w:vMerge w:val="continue"/>
            <w:vAlign w:val="center"/>
          </w:tcPr>
          <w:p w14:paraId="2A97EE78">
            <w:pPr>
              <w:widowControl/>
              <w:adjustRightInd w:val="0"/>
              <w:snapToGrid w:val="0"/>
              <w:jc w:val="both"/>
              <w:rPr>
                <w:rFonts w:ascii="仿宋" w:hAnsi="仿宋" w:eastAsia="仿宋" w:cs="宋体"/>
                <w:color w:val="auto"/>
                <w:kern w:val="0"/>
                <w:szCs w:val="21"/>
              </w:rPr>
            </w:pPr>
          </w:p>
        </w:tc>
        <w:tc>
          <w:tcPr>
            <w:tcW w:w="639" w:type="dxa"/>
            <w:vMerge w:val="continue"/>
            <w:vAlign w:val="center"/>
          </w:tcPr>
          <w:p w14:paraId="1CA01EA2">
            <w:pPr>
              <w:widowControl/>
              <w:adjustRightInd w:val="0"/>
              <w:snapToGrid w:val="0"/>
              <w:jc w:val="both"/>
              <w:rPr>
                <w:rFonts w:ascii="仿宋" w:hAnsi="仿宋" w:eastAsia="仿宋" w:cs="Arial"/>
                <w:color w:val="auto"/>
                <w:kern w:val="0"/>
                <w:szCs w:val="21"/>
              </w:rPr>
            </w:pPr>
          </w:p>
        </w:tc>
        <w:tc>
          <w:tcPr>
            <w:tcW w:w="851" w:type="dxa"/>
            <w:vAlign w:val="center"/>
          </w:tcPr>
          <w:p w14:paraId="0EA5D83F">
            <w:pPr>
              <w:widowControl/>
              <w:adjustRightInd w:val="0"/>
              <w:snapToGrid w:val="0"/>
              <w:jc w:val="both"/>
              <w:rPr>
                <w:rFonts w:ascii="仿宋" w:hAnsi="仿宋" w:eastAsia="仿宋" w:cs="Arial"/>
                <w:b/>
                <w:bCs/>
                <w:color w:val="auto"/>
                <w:kern w:val="0"/>
                <w:szCs w:val="21"/>
              </w:rPr>
            </w:pPr>
            <w:r>
              <w:rPr>
                <w:rFonts w:hint="eastAsia" w:ascii="仿宋" w:hAnsi="仿宋" w:eastAsia="仿宋" w:cs="Arial"/>
                <w:b/>
                <w:bCs/>
                <w:color w:val="auto"/>
                <w:kern w:val="0"/>
                <w:szCs w:val="21"/>
              </w:rPr>
              <w:t>对责任人的</w:t>
            </w:r>
          </w:p>
          <w:p w14:paraId="2E59C2B2">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处罚</w:t>
            </w:r>
          </w:p>
        </w:tc>
        <w:tc>
          <w:tcPr>
            <w:tcW w:w="2268" w:type="dxa"/>
            <w:vAlign w:val="center"/>
          </w:tcPr>
          <w:p w14:paraId="70CE4B9F">
            <w:pPr>
              <w:widowControl/>
              <w:adjustRightInd w:val="0"/>
              <w:snapToGrid w:val="0"/>
              <w:jc w:val="both"/>
              <w:rPr>
                <w:rFonts w:ascii="仿宋" w:hAnsi="仿宋" w:eastAsia="仿宋" w:cs="Arial"/>
                <w:color w:val="auto"/>
                <w:kern w:val="0"/>
                <w:szCs w:val="21"/>
              </w:rPr>
            </w:pPr>
          </w:p>
        </w:tc>
        <w:tc>
          <w:tcPr>
            <w:tcW w:w="2268" w:type="dxa"/>
            <w:vAlign w:val="center"/>
          </w:tcPr>
          <w:p w14:paraId="44F02559">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没收违法行为发生期间自本单位所获收入；</w:t>
            </w:r>
          </w:p>
          <w:p w14:paraId="56C774D7">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并处</w:t>
            </w:r>
            <w:r>
              <w:rPr>
                <w:rFonts w:hint="eastAsia" w:ascii="仿宋" w:hAnsi="Times New Roman" w:eastAsia="仿宋" w:cs="Times New Roman"/>
                <w:color w:val="auto"/>
                <w:szCs w:val="21"/>
              </w:rPr>
              <w:t>所获收入10%以上22%以下的罚款</w:t>
            </w:r>
            <w:r>
              <w:rPr>
                <w:rFonts w:hint="eastAsia" w:ascii="仿宋" w:hAnsi="仿宋" w:eastAsia="仿宋" w:cs="Arial"/>
                <w:color w:val="auto"/>
                <w:kern w:val="0"/>
                <w:szCs w:val="21"/>
              </w:rPr>
              <w:t>；</w:t>
            </w:r>
          </w:p>
          <w:p w14:paraId="504E3B4F">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3</w:t>
            </w:r>
            <w:r>
              <w:rPr>
                <w:rFonts w:hint="eastAsia" w:ascii="仿宋" w:hAnsi="仿宋" w:eastAsia="仿宋" w:cs="Arial"/>
                <w:color w:val="auto"/>
                <w:kern w:val="0"/>
                <w:szCs w:val="21"/>
              </w:rPr>
              <w:t>.10年内禁止从事药品生产经营活动。</w:t>
            </w:r>
          </w:p>
        </w:tc>
        <w:tc>
          <w:tcPr>
            <w:tcW w:w="2268" w:type="dxa"/>
            <w:vAlign w:val="center"/>
          </w:tcPr>
          <w:p w14:paraId="136979EB">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没收违法行为发生期间自本单位所获收入；</w:t>
            </w:r>
          </w:p>
          <w:p w14:paraId="2E265B8B">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并处所获收入22%以上38%以下的罚款；</w:t>
            </w:r>
          </w:p>
          <w:p w14:paraId="5BCADB63">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3.</w:t>
            </w:r>
            <w:r>
              <w:rPr>
                <w:rFonts w:hint="eastAsia" w:ascii="仿宋" w:hAnsi="仿宋" w:eastAsia="仿宋" w:cs="Arial"/>
                <w:color w:val="auto"/>
                <w:kern w:val="0"/>
                <w:szCs w:val="21"/>
                <w:lang w:eastAsia="zh-CN"/>
              </w:rPr>
              <w:t>10年以上（不含本数）20年以内（含本数）</w:t>
            </w:r>
            <w:r>
              <w:rPr>
                <w:rFonts w:hint="eastAsia" w:ascii="仿宋" w:hAnsi="仿宋" w:eastAsia="仿宋" w:cs="Arial"/>
                <w:color w:val="auto"/>
                <w:kern w:val="0"/>
                <w:szCs w:val="21"/>
              </w:rPr>
              <w:t>禁止从事药品生产经营活动。</w:t>
            </w:r>
          </w:p>
        </w:tc>
        <w:tc>
          <w:tcPr>
            <w:tcW w:w="4678" w:type="dxa"/>
            <w:gridSpan w:val="2"/>
            <w:vAlign w:val="center"/>
          </w:tcPr>
          <w:p w14:paraId="0D83EAE6">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没收违法行为发生期间自本单位所获收入；</w:t>
            </w:r>
          </w:p>
          <w:p w14:paraId="77AC0598">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并处</w:t>
            </w:r>
            <w:r>
              <w:rPr>
                <w:rFonts w:hint="eastAsia" w:ascii="仿宋" w:hAnsi="Times New Roman" w:eastAsia="仿宋" w:cs="Times New Roman"/>
                <w:color w:val="auto"/>
                <w:szCs w:val="21"/>
              </w:rPr>
              <w:t>所获收入38%以上50%以下的罚款；</w:t>
            </w:r>
          </w:p>
          <w:p w14:paraId="6A4CDE74">
            <w:pPr>
              <w:widowControl/>
              <w:adjustRightInd w:val="0"/>
              <w:snapToGrid w:val="0"/>
              <w:jc w:val="both"/>
              <w:rPr>
                <w:rFonts w:ascii="仿宋" w:hAnsi="仿宋" w:eastAsia="仿宋" w:cs="Arial"/>
                <w:color w:val="auto"/>
                <w:kern w:val="0"/>
                <w:szCs w:val="21"/>
              </w:rPr>
            </w:pPr>
            <w:r>
              <w:rPr>
                <w:rFonts w:hint="eastAsia" w:ascii="仿宋" w:hAnsi="仿宋" w:eastAsia="仿宋" w:cs="Arial"/>
                <w:b/>
                <w:bCs/>
                <w:color w:val="auto"/>
                <w:kern w:val="0"/>
                <w:szCs w:val="21"/>
              </w:rPr>
              <w:t>3.</w:t>
            </w:r>
            <w:r>
              <w:rPr>
                <w:rFonts w:hint="eastAsia" w:ascii="仿宋" w:hAnsi="仿宋" w:eastAsia="仿宋" w:cs="Arial"/>
                <w:color w:val="auto"/>
                <w:kern w:val="0"/>
                <w:szCs w:val="21"/>
                <w:lang w:eastAsia="zh-CN"/>
              </w:rPr>
              <w:t>20年以上（不含本数）</w:t>
            </w:r>
            <w:r>
              <w:rPr>
                <w:rFonts w:hint="eastAsia" w:ascii="仿宋" w:hAnsi="仿宋" w:eastAsia="仿宋" w:cs="Arial"/>
                <w:color w:val="auto"/>
                <w:kern w:val="0"/>
                <w:szCs w:val="21"/>
              </w:rPr>
              <w:t>至终身禁止从事药品生产经营等活动。</w:t>
            </w:r>
          </w:p>
        </w:tc>
      </w:tr>
    </w:tbl>
    <w:p w14:paraId="5F240058">
      <w:pPr>
        <w:widowControl/>
        <w:tabs>
          <w:tab w:val="left" w:pos="534"/>
          <w:tab w:val="left" w:pos="1020"/>
          <w:tab w:val="left" w:pos="1801"/>
          <w:tab w:val="left" w:pos="7103"/>
          <w:tab w:val="left" w:pos="10770"/>
        </w:tabs>
        <w:adjustRightInd w:val="0"/>
        <w:snapToGrid w:val="0"/>
        <w:jc w:val="both"/>
        <w:rPr>
          <w:rFonts w:ascii="仿宋" w:hAnsi="仿宋" w:eastAsia="仿宋" w:cs="Arial"/>
          <w:b/>
          <w:bCs/>
          <w:color w:val="auto"/>
          <w:kern w:val="0"/>
          <w:szCs w:val="21"/>
        </w:rPr>
      </w:pPr>
    </w:p>
    <w:p w14:paraId="72E3434E">
      <w:pPr>
        <w:widowControl/>
        <w:tabs>
          <w:tab w:val="left" w:pos="534"/>
          <w:tab w:val="left" w:pos="1020"/>
          <w:tab w:val="left" w:pos="1801"/>
          <w:tab w:val="left" w:pos="7103"/>
          <w:tab w:val="left" w:pos="10770"/>
        </w:tabs>
        <w:adjustRightInd w:val="0"/>
        <w:snapToGrid w:val="0"/>
        <w:jc w:val="both"/>
        <w:rPr>
          <w:rFonts w:ascii="仿宋" w:hAnsi="仿宋" w:eastAsia="仿宋" w:cs="Arial"/>
          <w:b/>
          <w:bCs/>
          <w:color w:val="auto"/>
          <w:kern w:val="0"/>
          <w:szCs w:val="21"/>
        </w:rPr>
      </w:pPr>
    </w:p>
    <w:p w14:paraId="39D88B81">
      <w:pPr>
        <w:widowControl/>
        <w:tabs>
          <w:tab w:val="left" w:pos="534"/>
          <w:tab w:val="left" w:pos="1020"/>
          <w:tab w:val="left" w:pos="1801"/>
          <w:tab w:val="left" w:pos="7103"/>
          <w:tab w:val="left" w:pos="10770"/>
        </w:tabs>
        <w:adjustRightInd w:val="0"/>
        <w:snapToGrid w:val="0"/>
        <w:jc w:val="both"/>
        <w:rPr>
          <w:rFonts w:ascii="仿宋" w:hAnsi="仿宋" w:eastAsia="仿宋" w:cs="Arial"/>
          <w:b/>
          <w:bCs/>
          <w:color w:val="auto"/>
          <w:kern w:val="0"/>
          <w:szCs w:val="21"/>
        </w:rPr>
      </w:pPr>
    </w:p>
    <w:tbl>
      <w:tblPr>
        <w:tblStyle w:val="6"/>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373"/>
        <w:gridCol w:w="2080"/>
        <w:gridCol w:w="1935"/>
        <w:gridCol w:w="3003"/>
        <w:gridCol w:w="5031"/>
      </w:tblGrid>
      <w:tr w14:paraId="53EF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8" w:type="dxa"/>
            <w:vMerge w:val="restart"/>
            <w:vAlign w:val="center"/>
          </w:tcPr>
          <w:p w14:paraId="3C885CAD">
            <w:pPr>
              <w:widowControl/>
              <w:adjustRightInd w:val="0"/>
              <w:snapToGrid w:val="0"/>
              <w:jc w:val="both"/>
              <w:rPr>
                <w:rFonts w:ascii="仿宋" w:hAnsi="仿宋" w:eastAsia="仿宋" w:cs="Arial"/>
                <w:b/>
                <w:color w:val="auto"/>
                <w:szCs w:val="21"/>
              </w:rPr>
            </w:pPr>
            <w:r>
              <w:rPr>
                <w:rFonts w:hint="eastAsia" w:ascii="仿宋" w:hAnsi="仿宋" w:eastAsia="仿宋" w:cs="宋体"/>
                <w:b/>
                <w:color w:val="auto"/>
                <w:szCs w:val="21"/>
              </w:rPr>
              <w:t>12</w:t>
            </w:r>
          </w:p>
        </w:tc>
        <w:tc>
          <w:tcPr>
            <w:tcW w:w="1373" w:type="dxa"/>
            <w:vAlign w:val="center"/>
          </w:tcPr>
          <w:p w14:paraId="4FEAEE4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049" w:type="dxa"/>
            <w:gridSpan w:val="4"/>
            <w:vAlign w:val="center"/>
          </w:tcPr>
          <w:p w14:paraId="702E325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违反</w:t>
            </w: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第一百二十七条的行为</w:t>
            </w:r>
          </w:p>
        </w:tc>
      </w:tr>
      <w:tr w14:paraId="017D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2" w:hRule="atLeast"/>
          <w:jc w:val="center"/>
        </w:trPr>
        <w:tc>
          <w:tcPr>
            <w:tcW w:w="578" w:type="dxa"/>
            <w:vMerge w:val="continue"/>
            <w:vAlign w:val="center"/>
          </w:tcPr>
          <w:p w14:paraId="3A87F476">
            <w:pPr>
              <w:widowControl/>
              <w:adjustRightInd w:val="0"/>
              <w:snapToGrid w:val="0"/>
              <w:jc w:val="both"/>
              <w:rPr>
                <w:rFonts w:ascii="仿宋" w:hAnsi="仿宋" w:eastAsia="仿宋" w:cs="Arial"/>
                <w:color w:val="auto"/>
                <w:szCs w:val="21"/>
              </w:rPr>
            </w:pPr>
          </w:p>
        </w:tc>
        <w:tc>
          <w:tcPr>
            <w:tcW w:w="1373" w:type="dxa"/>
            <w:vAlign w:val="center"/>
          </w:tcPr>
          <w:p w14:paraId="2ABFB1BF">
            <w:pPr>
              <w:widowControl/>
              <w:adjustRightInd w:val="0"/>
              <w:snapToGrid w:val="0"/>
              <w:ind w:firstLine="24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049" w:type="dxa"/>
            <w:gridSpan w:val="4"/>
            <w:vAlign w:val="center"/>
          </w:tcPr>
          <w:p w14:paraId="7530A6A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第一百二十七条：</w:t>
            </w:r>
            <w:r>
              <w:rPr>
                <w:rFonts w:hint="eastAsia" w:ascii="仿宋" w:hAnsi="仿宋" w:eastAsia="仿宋" w:cs="Arial"/>
                <w:color w:val="auto"/>
                <w:szCs w:val="21"/>
              </w:rPr>
              <w:t>违反本法规定，有下列行为之一的，责令限期改正，给予警告；逾期不改正的，处十万元以上五十万元以下的罚款：</w:t>
            </w:r>
          </w:p>
          <w:p w14:paraId="781DFBD8">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（一）开展生物等效性试验未备案；</w:t>
            </w:r>
          </w:p>
          <w:p w14:paraId="72CDC1B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（二）药物临床试验期间，发现存在安全性问题或者其他风险，临床试验申办者未及时调整临床试验方案、暂停或者终止临床试验，或者未向国务院药品监督管理部门报告；</w:t>
            </w:r>
          </w:p>
          <w:p w14:paraId="0A6B107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（三）未按照规定建立并实施药品追溯制度；</w:t>
            </w:r>
          </w:p>
          <w:p w14:paraId="25A31E7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（四）未按照规定提交年度报告；</w:t>
            </w:r>
          </w:p>
          <w:p w14:paraId="54D685D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（五）未按照规定对药品生产过程中的变更进行备案或者报告；</w:t>
            </w:r>
          </w:p>
          <w:p w14:paraId="76F5591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（六）未制定药品上市后风险管理计划；</w:t>
            </w:r>
          </w:p>
          <w:p w14:paraId="435474A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（七）未按照规定开展药品上市后研究或者上市后评价。</w:t>
            </w:r>
          </w:p>
          <w:p w14:paraId="7BB92699">
            <w:pPr>
              <w:adjustRightInd w:val="0"/>
              <w:snapToGrid w:val="0"/>
              <w:jc w:val="both"/>
              <w:rPr>
                <w:rFonts w:ascii="仿宋" w:hAnsi="仿宋" w:eastAsia="仿宋" w:cs="Times New Roman"/>
                <w:color w:val="auto"/>
                <w:szCs w:val="21"/>
              </w:rPr>
            </w:pPr>
            <w:r>
              <w:rPr>
                <w:rFonts w:hint="eastAsia" w:ascii="仿宋" w:hAnsi="仿宋" w:eastAsia="仿宋" w:cs="Times New Roman"/>
                <w:color w:val="auto"/>
                <w:szCs w:val="21"/>
              </w:rPr>
              <w:t>《药品注册管理办法》第一百一十四条：未经批准开展药物临床试验的，按照</w:t>
            </w:r>
            <w:r>
              <w:rPr>
                <w:rFonts w:hint="eastAsia" w:ascii="仿宋" w:hAnsi="仿宋" w:eastAsia="仿宋" w:cs="Times New Roman"/>
                <w:color w:val="auto"/>
                <w:szCs w:val="21"/>
                <w:lang w:eastAsia="zh-CN"/>
              </w:rPr>
              <w:t>《中华人民共和国药品管理法》</w:t>
            </w:r>
            <w:r>
              <w:rPr>
                <w:rFonts w:hint="eastAsia" w:ascii="仿宋" w:hAnsi="仿宋" w:eastAsia="仿宋" w:cs="Times New Roman"/>
                <w:color w:val="auto"/>
                <w:szCs w:val="21"/>
              </w:rPr>
              <w:t>第一百二十五条处理；开展生物等效性试验未备案的，按照</w:t>
            </w:r>
            <w:r>
              <w:rPr>
                <w:rFonts w:hint="eastAsia" w:ascii="仿宋" w:hAnsi="仿宋" w:eastAsia="仿宋" w:cs="Times New Roman"/>
                <w:color w:val="auto"/>
                <w:szCs w:val="21"/>
                <w:lang w:eastAsia="zh-CN"/>
              </w:rPr>
              <w:t>《中华人民共和国药品管理法》</w:t>
            </w:r>
            <w:r>
              <w:rPr>
                <w:rFonts w:hint="eastAsia" w:ascii="仿宋" w:hAnsi="仿宋" w:eastAsia="仿宋" w:cs="Times New Roman"/>
                <w:color w:val="auto"/>
                <w:szCs w:val="21"/>
              </w:rPr>
              <w:t>第一百二十七条处理。</w:t>
            </w:r>
          </w:p>
          <w:p w14:paraId="58ECAB38">
            <w:pPr>
              <w:adjustRightInd w:val="0"/>
              <w:snapToGrid w:val="0"/>
              <w:jc w:val="both"/>
              <w:rPr>
                <w:rFonts w:ascii="仿宋" w:hAnsi="仿宋" w:eastAsia="仿宋" w:cs="Times New Roman"/>
                <w:color w:val="auto"/>
                <w:szCs w:val="21"/>
              </w:rPr>
            </w:pPr>
            <w:r>
              <w:rPr>
                <w:rFonts w:hint="eastAsia" w:ascii="仿宋" w:hAnsi="仿宋" w:eastAsia="仿宋" w:cs="Times New Roman"/>
                <w:color w:val="auto"/>
                <w:szCs w:val="21"/>
              </w:rPr>
              <w:t>《药品注册管理办法》第一百一十五条：药物临床试验期间，发现存在安全性问题或者其他风险，临床试验申办者未及时调整临床试验方案、暂停或者终止临床试验，或者未向国家药品监督管理局报告的，按照</w:t>
            </w:r>
            <w:r>
              <w:rPr>
                <w:rFonts w:hint="eastAsia" w:ascii="仿宋" w:hAnsi="仿宋" w:eastAsia="仿宋" w:cs="Times New Roman"/>
                <w:color w:val="auto"/>
                <w:szCs w:val="21"/>
                <w:lang w:eastAsia="zh-CN"/>
              </w:rPr>
              <w:t>《中华人民共和国药品管理法》</w:t>
            </w:r>
            <w:r>
              <w:rPr>
                <w:rFonts w:hint="eastAsia" w:ascii="仿宋" w:hAnsi="仿宋" w:eastAsia="仿宋" w:cs="Times New Roman"/>
                <w:color w:val="auto"/>
                <w:szCs w:val="21"/>
              </w:rPr>
              <w:t>第一百二十七条处理。</w:t>
            </w:r>
          </w:p>
        </w:tc>
      </w:tr>
      <w:tr w14:paraId="0785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8" w:type="dxa"/>
            <w:vMerge w:val="continue"/>
            <w:vAlign w:val="center"/>
          </w:tcPr>
          <w:p w14:paraId="4E016A2D">
            <w:pPr>
              <w:widowControl/>
              <w:adjustRightInd w:val="0"/>
              <w:snapToGrid w:val="0"/>
              <w:jc w:val="both"/>
              <w:rPr>
                <w:rFonts w:ascii="仿宋" w:hAnsi="仿宋" w:eastAsia="仿宋" w:cs="Arial"/>
                <w:color w:val="auto"/>
                <w:szCs w:val="21"/>
              </w:rPr>
            </w:pPr>
          </w:p>
        </w:tc>
        <w:tc>
          <w:tcPr>
            <w:tcW w:w="1373" w:type="dxa"/>
            <w:vAlign w:val="center"/>
          </w:tcPr>
          <w:p w14:paraId="28608EF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080" w:type="dxa"/>
            <w:vAlign w:val="center"/>
          </w:tcPr>
          <w:p w14:paraId="2DBDF50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1935" w:type="dxa"/>
            <w:vAlign w:val="center"/>
          </w:tcPr>
          <w:p w14:paraId="46AADD4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3003" w:type="dxa"/>
            <w:vAlign w:val="center"/>
          </w:tcPr>
          <w:p w14:paraId="4ADE00C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5031" w:type="dxa"/>
            <w:vAlign w:val="center"/>
          </w:tcPr>
          <w:p w14:paraId="14DF422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16E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8" w:type="dxa"/>
            <w:vMerge w:val="continue"/>
            <w:vAlign w:val="center"/>
          </w:tcPr>
          <w:p w14:paraId="2DC90F28">
            <w:pPr>
              <w:widowControl/>
              <w:adjustRightInd w:val="0"/>
              <w:snapToGrid w:val="0"/>
              <w:jc w:val="both"/>
              <w:rPr>
                <w:rFonts w:ascii="仿宋" w:hAnsi="仿宋" w:eastAsia="仿宋" w:cs="Arial"/>
                <w:color w:val="auto"/>
                <w:szCs w:val="21"/>
              </w:rPr>
            </w:pPr>
          </w:p>
        </w:tc>
        <w:tc>
          <w:tcPr>
            <w:tcW w:w="1373" w:type="dxa"/>
            <w:vAlign w:val="center"/>
          </w:tcPr>
          <w:p w14:paraId="2BC4EB9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2080" w:type="dxa"/>
            <w:vAlign w:val="center"/>
          </w:tcPr>
          <w:p w14:paraId="767978FE">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1935" w:type="dxa"/>
            <w:vAlign w:val="center"/>
          </w:tcPr>
          <w:p w14:paraId="02CA115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003" w:type="dxa"/>
            <w:vAlign w:val="center"/>
          </w:tcPr>
          <w:p w14:paraId="647E6CC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5031" w:type="dxa"/>
            <w:vAlign w:val="center"/>
          </w:tcPr>
          <w:p w14:paraId="384FC40A">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0C27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8" w:type="dxa"/>
            <w:vMerge w:val="continue"/>
            <w:vAlign w:val="center"/>
          </w:tcPr>
          <w:p w14:paraId="7BAD98C9">
            <w:pPr>
              <w:widowControl/>
              <w:adjustRightInd w:val="0"/>
              <w:snapToGrid w:val="0"/>
              <w:jc w:val="both"/>
              <w:rPr>
                <w:rFonts w:ascii="仿宋" w:hAnsi="仿宋" w:eastAsia="仿宋" w:cs="Arial"/>
                <w:color w:val="auto"/>
                <w:szCs w:val="21"/>
              </w:rPr>
            </w:pPr>
          </w:p>
        </w:tc>
        <w:tc>
          <w:tcPr>
            <w:tcW w:w="1373" w:type="dxa"/>
            <w:vMerge w:val="restart"/>
            <w:vAlign w:val="center"/>
          </w:tcPr>
          <w:p w14:paraId="0A58B09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2080" w:type="dxa"/>
            <w:vAlign w:val="center"/>
          </w:tcPr>
          <w:p w14:paraId="3A89E74A">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1935" w:type="dxa"/>
            <w:vAlign w:val="center"/>
          </w:tcPr>
          <w:p w14:paraId="425F378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3003" w:type="dxa"/>
            <w:vAlign w:val="center"/>
          </w:tcPr>
          <w:p w14:paraId="2AC58D4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5031" w:type="dxa"/>
            <w:vAlign w:val="center"/>
          </w:tcPr>
          <w:p w14:paraId="3635EFB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责令限期改正，给予警告。</w:t>
            </w:r>
          </w:p>
        </w:tc>
      </w:tr>
      <w:tr w14:paraId="2516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578" w:type="dxa"/>
            <w:vMerge w:val="continue"/>
            <w:vAlign w:val="center"/>
          </w:tcPr>
          <w:p w14:paraId="1BAAEB07">
            <w:pPr>
              <w:widowControl/>
              <w:adjustRightInd w:val="0"/>
              <w:snapToGrid w:val="0"/>
              <w:jc w:val="both"/>
              <w:rPr>
                <w:rFonts w:ascii="仿宋" w:hAnsi="仿宋" w:eastAsia="仿宋" w:cs="Arial"/>
                <w:color w:val="auto"/>
                <w:szCs w:val="21"/>
              </w:rPr>
            </w:pPr>
          </w:p>
        </w:tc>
        <w:tc>
          <w:tcPr>
            <w:tcW w:w="1373" w:type="dxa"/>
            <w:vMerge w:val="continue"/>
            <w:vAlign w:val="center"/>
          </w:tcPr>
          <w:p w14:paraId="2B589A23">
            <w:pPr>
              <w:widowControl/>
              <w:adjustRightInd w:val="0"/>
              <w:snapToGrid w:val="0"/>
              <w:jc w:val="both"/>
              <w:rPr>
                <w:rFonts w:ascii="仿宋" w:hAnsi="仿宋" w:eastAsia="仿宋" w:cs="Arial"/>
                <w:color w:val="auto"/>
                <w:szCs w:val="21"/>
              </w:rPr>
            </w:pPr>
          </w:p>
        </w:tc>
        <w:tc>
          <w:tcPr>
            <w:tcW w:w="2080" w:type="dxa"/>
            <w:vAlign w:val="center"/>
          </w:tcPr>
          <w:p w14:paraId="326BF419">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逾期不改正的，处1万元以上10万元以下的罚款。</w:t>
            </w:r>
          </w:p>
        </w:tc>
        <w:tc>
          <w:tcPr>
            <w:tcW w:w="1935" w:type="dxa"/>
            <w:vAlign w:val="center"/>
          </w:tcPr>
          <w:p w14:paraId="6350ABCA">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逾期不改正的，处10万元以上22万元以下的罚款。</w:t>
            </w:r>
          </w:p>
        </w:tc>
        <w:tc>
          <w:tcPr>
            <w:tcW w:w="3003" w:type="dxa"/>
            <w:vAlign w:val="center"/>
          </w:tcPr>
          <w:p w14:paraId="33AD5B10">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逾期不改正的，处22万元以上38万元以下的罚款。</w:t>
            </w:r>
          </w:p>
        </w:tc>
        <w:tc>
          <w:tcPr>
            <w:tcW w:w="5031" w:type="dxa"/>
            <w:vAlign w:val="center"/>
          </w:tcPr>
          <w:p w14:paraId="23EBE98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逾期不改正的，处</w:t>
            </w:r>
            <w:r>
              <w:rPr>
                <w:rFonts w:hint="eastAsia" w:ascii="仿宋" w:hAnsi="Times New Roman" w:eastAsia="仿宋" w:cs="Times New Roman"/>
                <w:color w:val="auto"/>
                <w:szCs w:val="21"/>
              </w:rPr>
              <w:t>38万元</w:t>
            </w:r>
            <w:r>
              <w:rPr>
                <w:rFonts w:hint="eastAsia" w:ascii="仿宋" w:hAnsi="仿宋" w:eastAsia="仿宋" w:cs="Arial"/>
                <w:color w:val="auto"/>
                <w:szCs w:val="21"/>
              </w:rPr>
              <w:t>以上50万元以下的罚款。</w:t>
            </w:r>
          </w:p>
        </w:tc>
      </w:tr>
    </w:tbl>
    <w:p w14:paraId="1736CA71">
      <w:pPr>
        <w:adjustRightInd w:val="0"/>
        <w:spacing w:line="180" w:lineRule="exact"/>
        <w:jc w:val="both"/>
        <w:rPr>
          <w:rFonts w:ascii="仿宋" w:hAnsi="Times New Roman" w:eastAsia="仿宋" w:cs="Times New Roman"/>
          <w:color w:val="auto"/>
          <w:sz w:val="32"/>
          <w:szCs w:val="20"/>
        </w:rPr>
      </w:pPr>
    </w:p>
    <w:tbl>
      <w:tblPr>
        <w:tblStyle w:val="6"/>
        <w:tblW w:w="13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698"/>
        <w:gridCol w:w="699"/>
        <w:gridCol w:w="2994"/>
        <w:gridCol w:w="2994"/>
        <w:gridCol w:w="2994"/>
        <w:gridCol w:w="2995"/>
      </w:tblGrid>
      <w:tr w14:paraId="59B3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4" w:type="dxa"/>
            <w:vMerge w:val="restart"/>
            <w:vAlign w:val="center"/>
          </w:tcPr>
          <w:p w14:paraId="649366B1">
            <w:pPr>
              <w:widowControl/>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13</w:t>
            </w:r>
          </w:p>
        </w:tc>
        <w:tc>
          <w:tcPr>
            <w:tcW w:w="1397" w:type="dxa"/>
            <w:gridSpan w:val="2"/>
            <w:vAlign w:val="center"/>
          </w:tcPr>
          <w:p w14:paraId="41C2698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977" w:type="dxa"/>
            <w:gridSpan w:val="4"/>
            <w:vAlign w:val="center"/>
          </w:tcPr>
          <w:p w14:paraId="30AFB82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药品上市许可持有人、药品生产企业、药品经营企业或者医疗机构未从药品上市许可持有人或者具有药品生产、经营资格的企业购进药品的</w:t>
            </w:r>
          </w:p>
        </w:tc>
      </w:tr>
      <w:tr w14:paraId="096E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554" w:type="dxa"/>
            <w:vMerge w:val="continue"/>
            <w:vAlign w:val="center"/>
          </w:tcPr>
          <w:p w14:paraId="69927FD2">
            <w:pPr>
              <w:widowControl/>
              <w:adjustRightInd w:val="0"/>
              <w:snapToGrid w:val="0"/>
              <w:jc w:val="both"/>
              <w:rPr>
                <w:rFonts w:ascii="仿宋" w:hAnsi="仿宋" w:eastAsia="仿宋" w:cs="Arial"/>
                <w:color w:val="auto"/>
                <w:szCs w:val="21"/>
              </w:rPr>
            </w:pPr>
          </w:p>
        </w:tc>
        <w:tc>
          <w:tcPr>
            <w:tcW w:w="1397" w:type="dxa"/>
            <w:gridSpan w:val="2"/>
            <w:vAlign w:val="center"/>
          </w:tcPr>
          <w:p w14:paraId="0DBE051B">
            <w:pPr>
              <w:widowControl/>
              <w:adjustRightInd w:val="0"/>
              <w:snapToGrid w:val="0"/>
              <w:jc w:val="both"/>
              <w:rPr>
                <w:rFonts w:ascii="仿宋" w:hAnsi="仿宋" w:eastAsia="仿宋" w:cs="Arial"/>
                <w:color w:val="auto"/>
                <w:szCs w:val="21"/>
              </w:rPr>
            </w:pPr>
          </w:p>
          <w:p w14:paraId="57EC62C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977" w:type="dxa"/>
            <w:gridSpan w:val="4"/>
            <w:vAlign w:val="center"/>
          </w:tcPr>
          <w:p w14:paraId="729D34B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第一百二十九条：</w:t>
            </w:r>
            <w:r>
              <w:rPr>
                <w:rFonts w:hint="eastAsia" w:ascii="仿宋" w:hAnsi="仿宋" w:eastAsia="仿宋" w:cs="Arial"/>
                <w:color w:val="auto"/>
                <w:szCs w:val="21"/>
              </w:rPr>
              <w:t>违反本法规定，药品上市许可持有人、药品生产企业、药品经营企业或者医疗机构未从药品上市许可持有人或者具有药品生产、经营资格的企业购进药品的，责令改正，没收违法购进的药品和违法所得，并处违法购进药品货值金额二倍以上十倍以下的罚款；情节严重的，并处货值金额十倍以上三十倍以下的罚款，吊销药品批准证明文件、药品生产许可证、药品经营许可证或者医疗机构执业许可证；货值金额不足五万元的，按五万元计算。</w:t>
            </w:r>
          </w:p>
        </w:tc>
      </w:tr>
      <w:tr w14:paraId="3148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4" w:type="dxa"/>
            <w:vMerge w:val="continue"/>
            <w:vAlign w:val="center"/>
          </w:tcPr>
          <w:p w14:paraId="449E7164">
            <w:pPr>
              <w:widowControl/>
              <w:adjustRightInd w:val="0"/>
              <w:snapToGrid w:val="0"/>
              <w:jc w:val="both"/>
              <w:rPr>
                <w:rFonts w:ascii="仿宋" w:hAnsi="仿宋" w:eastAsia="仿宋" w:cs="Arial"/>
                <w:color w:val="auto"/>
                <w:szCs w:val="21"/>
              </w:rPr>
            </w:pPr>
          </w:p>
        </w:tc>
        <w:tc>
          <w:tcPr>
            <w:tcW w:w="1397" w:type="dxa"/>
            <w:gridSpan w:val="2"/>
            <w:vAlign w:val="center"/>
          </w:tcPr>
          <w:p w14:paraId="319D675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994" w:type="dxa"/>
            <w:vAlign w:val="center"/>
          </w:tcPr>
          <w:p w14:paraId="3435868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994" w:type="dxa"/>
            <w:vAlign w:val="center"/>
          </w:tcPr>
          <w:p w14:paraId="51FEF79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994" w:type="dxa"/>
            <w:vAlign w:val="center"/>
          </w:tcPr>
          <w:p w14:paraId="6D9E358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2995" w:type="dxa"/>
            <w:vAlign w:val="center"/>
          </w:tcPr>
          <w:p w14:paraId="1468142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3F3E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4" w:type="dxa"/>
            <w:vMerge w:val="continue"/>
            <w:vAlign w:val="center"/>
          </w:tcPr>
          <w:p w14:paraId="167702D3">
            <w:pPr>
              <w:widowControl/>
              <w:adjustRightInd w:val="0"/>
              <w:snapToGrid w:val="0"/>
              <w:jc w:val="both"/>
              <w:rPr>
                <w:rFonts w:ascii="仿宋" w:hAnsi="仿宋" w:eastAsia="仿宋" w:cs="Arial"/>
                <w:color w:val="auto"/>
                <w:szCs w:val="21"/>
              </w:rPr>
            </w:pPr>
          </w:p>
        </w:tc>
        <w:tc>
          <w:tcPr>
            <w:tcW w:w="1397" w:type="dxa"/>
            <w:gridSpan w:val="2"/>
            <w:vAlign w:val="center"/>
          </w:tcPr>
          <w:p w14:paraId="3E63D75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2994" w:type="dxa"/>
            <w:vAlign w:val="center"/>
          </w:tcPr>
          <w:p w14:paraId="1ED109C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994" w:type="dxa"/>
            <w:vAlign w:val="center"/>
          </w:tcPr>
          <w:p w14:paraId="6FAE4135">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994" w:type="dxa"/>
            <w:vAlign w:val="center"/>
          </w:tcPr>
          <w:p w14:paraId="4980E67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2995" w:type="dxa"/>
            <w:vAlign w:val="center"/>
          </w:tcPr>
          <w:p w14:paraId="76BB4EE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18C0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jc w:val="center"/>
        </w:trPr>
        <w:tc>
          <w:tcPr>
            <w:tcW w:w="554" w:type="dxa"/>
            <w:vMerge w:val="continue"/>
            <w:vAlign w:val="center"/>
          </w:tcPr>
          <w:p w14:paraId="5EBCE204">
            <w:pPr>
              <w:widowControl/>
              <w:adjustRightInd w:val="0"/>
              <w:snapToGrid w:val="0"/>
              <w:jc w:val="both"/>
              <w:rPr>
                <w:rFonts w:ascii="仿宋" w:hAnsi="仿宋" w:eastAsia="仿宋" w:cs="Arial"/>
                <w:color w:val="auto"/>
                <w:szCs w:val="21"/>
              </w:rPr>
            </w:pPr>
          </w:p>
        </w:tc>
        <w:tc>
          <w:tcPr>
            <w:tcW w:w="698" w:type="dxa"/>
            <w:vMerge w:val="restart"/>
            <w:vAlign w:val="center"/>
          </w:tcPr>
          <w:p w14:paraId="6A9C44A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w:t>
            </w:r>
          </w:p>
          <w:p w14:paraId="36A3F74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基准</w:t>
            </w:r>
          </w:p>
        </w:tc>
        <w:tc>
          <w:tcPr>
            <w:tcW w:w="699" w:type="dxa"/>
            <w:vAlign w:val="center"/>
          </w:tcPr>
          <w:p w14:paraId="4E4EAD6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p w14:paraId="7669709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情形</w:t>
            </w:r>
          </w:p>
        </w:tc>
        <w:tc>
          <w:tcPr>
            <w:tcW w:w="2994" w:type="dxa"/>
            <w:vAlign w:val="center"/>
          </w:tcPr>
          <w:p w14:paraId="0791BDB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5C8A731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没收违法购进的药品和违法所得；</w:t>
            </w:r>
          </w:p>
          <w:p w14:paraId="5A0A9A38">
            <w:pPr>
              <w:widowControl/>
              <w:adjustRightInd w:val="0"/>
              <w:snapToGrid w:val="0"/>
              <w:jc w:val="both"/>
              <w:rPr>
                <w:rFonts w:hint="eastAsia"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并处违法购进药品货值金额0.2倍以上2倍以下的罚款。</w:t>
            </w:r>
          </w:p>
          <w:p w14:paraId="2E009F53">
            <w:pPr>
              <w:widowControl/>
              <w:adjustRightInd w:val="0"/>
              <w:snapToGrid w:val="0"/>
              <w:jc w:val="both"/>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货值金额不足5万元的，按5万元计算。</w:t>
            </w:r>
          </w:p>
        </w:tc>
        <w:tc>
          <w:tcPr>
            <w:tcW w:w="2994" w:type="dxa"/>
            <w:vAlign w:val="center"/>
          </w:tcPr>
          <w:p w14:paraId="7FFAE86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081FD10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没收违法购进的药品和违法所得；</w:t>
            </w:r>
          </w:p>
          <w:p w14:paraId="03E0D0BD">
            <w:pPr>
              <w:widowControl/>
              <w:adjustRightInd w:val="0"/>
              <w:snapToGrid w:val="0"/>
              <w:jc w:val="both"/>
              <w:rPr>
                <w:rFonts w:hint="eastAsia"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并处违法购进药品货值金额2倍以上4.4倍以下的罚款。</w:t>
            </w:r>
          </w:p>
          <w:p w14:paraId="1BA1EA1E">
            <w:pPr>
              <w:widowControl/>
              <w:adjustRightInd w:val="0"/>
              <w:snapToGrid w:val="0"/>
              <w:jc w:val="both"/>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货值金额不足5万元的，按5万元计算。</w:t>
            </w:r>
          </w:p>
        </w:tc>
        <w:tc>
          <w:tcPr>
            <w:tcW w:w="2994" w:type="dxa"/>
            <w:vAlign w:val="center"/>
          </w:tcPr>
          <w:p w14:paraId="30DB7C2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6A7B75E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没收违法购进的药品和违法所得；</w:t>
            </w:r>
          </w:p>
          <w:p w14:paraId="1571A608">
            <w:pPr>
              <w:widowControl/>
              <w:adjustRightInd w:val="0"/>
              <w:snapToGrid w:val="0"/>
              <w:jc w:val="both"/>
              <w:rPr>
                <w:rFonts w:hint="eastAsia"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并处违法购进药品货值金额4.4倍以上7.6倍以下的罚款。</w:t>
            </w:r>
          </w:p>
          <w:p w14:paraId="4ADBFB48">
            <w:pPr>
              <w:widowControl/>
              <w:adjustRightInd w:val="0"/>
              <w:snapToGrid w:val="0"/>
              <w:jc w:val="both"/>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货值金额不足5万元的，按5万元计算。</w:t>
            </w:r>
          </w:p>
        </w:tc>
        <w:tc>
          <w:tcPr>
            <w:tcW w:w="2995" w:type="dxa"/>
            <w:vAlign w:val="center"/>
          </w:tcPr>
          <w:p w14:paraId="12D0F3C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3403CC8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没收违法购进的药品和违法所得；</w:t>
            </w:r>
          </w:p>
          <w:p w14:paraId="3E3DE534">
            <w:pPr>
              <w:widowControl/>
              <w:adjustRightInd w:val="0"/>
              <w:snapToGrid w:val="0"/>
              <w:jc w:val="both"/>
              <w:rPr>
                <w:rFonts w:hint="eastAsia"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并处违法购进药品货值金额7.6倍以上10倍以下的罚款。</w:t>
            </w:r>
          </w:p>
          <w:p w14:paraId="311F4205">
            <w:pPr>
              <w:widowControl/>
              <w:adjustRightInd w:val="0"/>
              <w:snapToGrid w:val="0"/>
              <w:jc w:val="both"/>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货值金额不足5万元的，按5万元计算。</w:t>
            </w:r>
          </w:p>
        </w:tc>
      </w:tr>
      <w:tr w14:paraId="72A2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9" w:hRule="atLeast"/>
          <w:jc w:val="center"/>
        </w:trPr>
        <w:tc>
          <w:tcPr>
            <w:tcW w:w="554" w:type="dxa"/>
            <w:vMerge w:val="continue"/>
            <w:vAlign w:val="center"/>
          </w:tcPr>
          <w:p w14:paraId="4E1B499D">
            <w:pPr>
              <w:widowControl/>
              <w:adjustRightInd w:val="0"/>
              <w:snapToGrid w:val="0"/>
              <w:jc w:val="both"/>
              <w:rPr>
                <w:rFonts w:ascii="仿宋" w:hAnsi="仿宋" w:eastAsia="仿宋" w:cs="Arial"/>
                <w:color w:val="auto"/>
                <w:szCs w:val="21"/>
              </w:rPr>
            </w:pPr>
          </w:p>
        </w:tc>
        <w:tc>
          <w:tcPr>
            <w:tcW w:w="698" w:type="dxa"/>
            <w:vMerge w:val="continue"/>
            <w:vAlign w:val="center"/>
          </w:tcPr>
          <w:p w14:paraId="0D2AB28D">
            <w:pPr>
              <w:widowControl/>
              <w:adjustRightInd w:val="0"/>
              <w:snapToGrid w:val="0"/>
              <w:jc w:val="both"/>
              <w:rPr>
                <w:rFonts w:ascii="仿宋" w:hAnsi="仿宋" w:eastAsia="仿宋" w:cs="Arial"/>
                <w:color w:val="auto"/>
                <w:szCs w:val="21"/>
              </w:rPr>
            </w:pPr>
          </w:p>
        </w:tc>
        <w:tc>
          <w:tcPr>
            <w:tcW w:w="699" w:type="dxa"/>
            <w:vAlign w:val="center"/>
          </w:tcPr>
          <w:p w14:paraId="78E6C48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w:t>
            </w:r>
          </w:p>
          <w:p w14:paraId="1914F1C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严重</w:t>
            </w:r>
          </w:p>
        </w:tc>
        <w:tc>
          <w:tcPr>
            <w:tcW w:w="2994" w:type="dxa"/>
            <w:vAlign w:val="center"/>
          </w:tcPr>
          <w:p w14:paraId="514E40BD">
            <w:pPr>
              <w:widowControl/>
              <w:adjustRightInd w:val="0"/>
              <w:snapToGrid w:val="0"/>
              <w:jc w:val="both"/>
              <w:rPr>
                <w:rFonts w:ascii="仿宋" w:hAnsi="仿宋" w:eastAsia="仿宋" w:cs="Arial"/>
                <w:color w:val="auto"/>
                <w:szCs w:val="21"/>
              </w:rPr>
            </w:pPr>
          </w:p>
        </w:tc>
        <w:tc>
          <w:tcPr>
            <w:tcW w:w="2994" w:type="dxa"/>
            <w:vAlign w:val="center"/>
          </w:tcPr>
          <w:p w14:paraId="077746E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并处违法购进药品货值金额10倍以上16倍以下的罚款；</w:t>
            </w:r>
          </w:p>
          <w:p w14:paraId="5ABAF60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吊销药品批准证明文件、药品生产许可证、药品经营许可证或者医疗机构执业许可证；</w:t>
            </w:r>
          </w:p>
          <w:p w14:paraId="3350732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货值金额不足5万元的，按5万元计算。</w:t>
            </w:r>
          </w:p>
        </w:tc>
        <w:tc>
          <w:tcPr>
            <w:tcW w:w="2994" w:type="dxa"/>
            <w:vAlign w:val="center"/>
          </w:tcPr>
          <w:p w14:paraId="25C6A15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并处违法购进药品货值金额16倍以上24倍以下的罚款；</w:t>
            </w:r>
          </w:p>
          <w:p w14:paraId="20ED54B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吊销药品批准证明文件、药品生产许可证、药品经营许可证或者医疗机构执业许可证；</w:t>
            </w:r>
          </w:p>
          <w:p w14:paraId="298E1D0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货值金额不足5万元的，按5万元计算。</w:t>
            </w:r>
          </w:p>
        </w:tc>
        <w:tc>
          <w:tcPr>
            <w:tcW w:w="2995" w:type="dxa"/>
            <w:vAlign w:val="center"/>
          </w:tcPr>
          <w:p w14:paraId="0889F59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并处违法购进药品货值金额24倍以上30倍以下的罚款；</w:t>
            </w:r>
          </w:p>
          <w:p w14:paraId="2C5FFB1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吊销药品批准证明文件、药品生产许可证、药品经营许可证或者医疗机构执业许可证；</w:t>
            </w:r>
          </w:p>
          <w:p w14:paraId="7DB1CB8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货值金额不足5</w:t>
            </w:r>
            <w:r>
              <w:rPr>
                <w:rFonts w:hint="eastAsia" w:ascii="仿宋" w:hAnsi="仿宋" w:eastAsia="仿宋" w:cs="Arial"/>
                <w:color w:val="auto"/>
                <w:szCs w:val="21"/>
                <w:lang w:eastAsia="zh-CN"/>
              </w:rPr>
              <w:t>万</w:t>
            </w:r>
            <w:r>
              <w:rPr>
                <w:rFonts w:hint="eastAsia" w:ascii="仿宋" w:hAnsi="仿宋" w:eastAsia="仿宋" w:cs="Arial"/>
                <w:color w:val="auto"/>
                <w:szCs w:val="21"/>
              </w:rPr>
              <w:t>元的，按5万元计算。</w:t>
            </w:r>
          </w:p>
        </w:tc>
      </w:tr>
    </w:tbl>
    <w:p w14:paraId="62501659">
      <w:pPr>
        <w:widowControl/>
        <w:tabs>
          <w:tab w:val="left" w:pos="677"/>
          <w:tab w:val="left" w:pos="1523"/>
          <w:tab w:val="left" w:pos="2368"/>
          <w:tab w:val="left" w:pos="5359"/>
          <w:tab w:val="left" w:pos="8016"/>
          <w:tab w:val="left" w:pos="10881"/>
        </w:tabs>
        <w:adjustRightInd w:val="0"/>
        <w:snapToGrid w:val="0"/>
        <w:jc w:val="both"/>
        <w:rPr>
          <w:rFonts w:ascii="仿宋" w:hAnsi="仿宋" w:eastAsia="仿宋" w:cs="Arial"/>
          <w:b/>
          <w:bCs/>
          <w:color w:val="auto"/>
          <w:szCs w:val="21"/>
        </w:rPr>
      </w:pPr>
    </w:p>
    <w:p w14:paraId="639953DD">
      <w:pPr>
        <w:widowControl/>
        <w:tabs>
          <w:tab w:val="left" w:pos="677"/>
          <w:tab w:val="left" w:pos="1523"/>
          <w:tab w:val="left" w:pos="2368"/>
          <w:tab w:val="left" w:pos="5359"/>
          <w:tab w:val="left" w:pos="8016"/>
          <w:tab w:val="left" w:pos="10881"/>
        </w:tabs>
        <w:adjustRightInd w:val="0"/>
        <w:snapToGrid w:val="0"/>
        <w:jc w:val="both"/>
        <w:rPr>
          <w:rFonts w:ascii="仿宋" w:hAnsi="仿宋" w:eastAsia="仿宋" w:cs="Arial"/>
          <w:b/>
          <w:bCs/>
          <w:color w:val="auto"/>
          <w:szCs w:val="21"/>
        </w:rPr>
      </w:pPr>
    </w:p>
    <w:tbl>
      <w:tblPr>
        <w:tblStyle w:val="6"/>
        <w:tblW w:w="13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703"/>
        <w:gridCol w:w="703"/>
        <w:gridCol w:w="2977"/>
        <w:gridCol w:w="2977"/>
        <w:gridCol w:w="3011"/>
        <w:gridCol w:w="3012"/>
      </w:tblGrid>
      <w:tr w14:paraId="5758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5" w:type="dxa"/>
            <w:vMerge w:val="restart"/>
            <w:vAlign w:val="center"/>
          </w:tcPr>
          <w:p w14:paraId="663E0439">
            <w:pPr>
              <w:widowControl/>
              <w:adjustRightInd w:val="0"/>
              <w:snapToGrid w:val="0"/>
              <w:jc w:val="both"/>
              <w:rPr>
                <w:rFonts w:ascii="仿宋" w:hAnsi="仿宋" w:eastAsia="仿宋" w:cs="Arial"/>
                <w:b/>
                <w:color w:val="auto"/>
                <w:szCs w:val="21"/>
              </w:rPr>
            </w:pPr>
            <w:r>
              <w:rPr>
                <w:rFonts w:hint="eastAsia" w:ascii="仿宋" w:hAnsi="仿宋" w:eastAsia="仿宋" w:cs="宋体"/>
                <w:b/>
                <w:color w:val="auto"/>
                <w:szCs w:val="21"/>
              </w:rPr>
              <w:t>14</w:t>
            </w:r>
          </w:p>
        </w:tc>
        <w:tc>
          <w:tcPr>
            <w:tcW w:w="1406" w:type="dxa"/>
            <w:gridSpan w:val="2"/>
            <w:vAlign w:val="center"/>
          </w:tcPr>
          <w:p w14:paraId="5A666A0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977" w:type="dxa"/>
            <w:gridSpan w:val="4"/>
            <w:vAlign w:val="center"/>
          </w:tcPr>
          <w:p w14:paraId="42F0254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药品网络交易第三方平台提供者未履行资质审核、报告、停止提供网络交易平台服务等义务的</w:t>
            </w:r>
          </w:p>
        </w:tc>
      </w:tr>
      <w:tr w14:paraId="4880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545" w:type="dxa"/>
            <w:vMerge w:val="continue"/>
            <w:vAlign w:val="center"/>
          </w:tcPr>
          <w:p w14:paraId="7E6863AD">
            <w:pPr>
              <w:widowControl/>
              <w:adjustRightInd w:val="0"/>
              <w:snapToGrid w:val="0"/>
              <w:jc w:val="both"/>
              <w:rPr>
                <w:rFonts w:ascii="仿宋" w:hAnsi="仿宋" w:eastAsia="仿宋" w:cs="Arial"/>
                <w:color w:val="auto"/>
                <w:szCs w:val="21"/>
              </w:rPr>
            </w:pPr>
          </w:p>
        </w:tc>
        <w:tc>
          <w:tcPr>
            <w:tcW w:w="1406" w:type="dxa"/>
            <w:gridSpan w:val="2"/>
            <w:vAlign w:val="center"/>
          </w:tcPr>
          <w:p w14:paraId="41C8169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977" w:type="dxa"/>
            <w:gridSpan w:val="4"/>
            <w:vAlign w:val="center"/>
          </w:tcPr>
          <w:p w14:paraId="718671B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第一百三十一条：</w:t>
            </w:r>
            <w:r>
              <w:rPr>
                <w:rFonts w:hint="eastAsia" w:ascii="仿宋" w:hAnsi="仿宋" w:eastAsia="仿宋" w:cs="Arial"/>
                <w:color w:val="auto"/>
                <w:szCs w:val="21"/>
              </w:rPr>
              <w:t>违反本法规定，药品网络交易第三方平台提供者未履行资质审核、报告、停止提供网络交易平台服务等义务的，责令改正，没收违法所得，并处二十万元以上二百万元以下的罚款；情节严重的，责令停业整顿，并处二百万元以上五百万元以下的罚款。</w:t>
            </w:r>
          </w:p>
        </w:tc>
      </w:tr>
      <w:tr w14:paraId="19E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45" w:type="dxa"/>
            <w:vMerge w:val="continue"/>
            <w:vAlign w:val="center"/>
          </w:tcPr>
          <w:p w14:paraId="1CEC73AF">
            <w:pPr>
              <w:widowControl/>
              <w:adjustRightInd w:val="0"/>
              <w:snapToGrid w:val="0"/>
              <w:jc w:val="both"/>
              <w:rPr>
                <w:rFonts w:ascii="仿宋" w:hAnsi="仿宋" w:eastAsia="仿宋" w:cs="Arial"/>
                <w:color w:val="auto"/>
                <w:szCs w:val="21"/>
              </w:rPr>
            </w:pPr>
          </w:p>
        </w:tc>
        <w:tc>
          <w:tcPr>
            <w:tcW w:w="1406" w:type="dxa"/>
            <w:gridSpan w:val="2"/>
            <w:vAlign w:val="center"/>
          </w:tcPr>
          <w:p w14:paraId="361A272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977" w:type="dxa"/>
            <w:vAlign w:val="center"/>
          </w:tcPr>
          <w:p w14:paraId="4A2D00E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977" w:type="dxa"/>
            <w:vAlign w:val="center"/>
          </w:tcPr>
          <w:p w14:paraId="0F9622C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3011" w:type="dxa"/>
            <w:vAlign w:val="center"/>
          </w:tcPr>
          <w:p w14:paraId="24E1B9D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012" w:type="dxa"/>
            <w:vAlign w:val="center"/>
          </w:tcPr>
          <w:p w14:paraId="208E3BE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6EC8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545" w:type="dxa"/>
            <w:vMerge w:val="continue"/>
            <w:vAlign w:val="center"/>
          </w:tcPr>
          <w:p w14:paraId="5D47E996">
            <w:pPr>
              <w:widowControl/>
              <w:adjustRightInd w:val="0"/>
              <w:snapToGrid w:val="0"/>
              <w:jc w:val="both"/>
              <w:rPr>
                <w:rFonts w:ascii="仿宋" w:hAnsi="仿宋" w:eastAsia="仿宋" w:cs="Arial"/>
                <w:color w:val="auto"/>
                <w:szCs w:val="21"/>
              </w:rPr>
            </w:pPr>
          </w:p>
        </w:tc>
        <w:tc>
          <w:tcPr>
            <w:tcW w:w="1406" w:type="dxa"/>
            <w:gridSpan w:val="2"/>
            <w:vAlign w:val="center"/>
          </w:tcPr>
          <w:p w14:paraId="5616EB6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2977" w:type="dxa"/>
            <w:vAlign w:val="center"/>
          </w:tcPr>
          <w:p w14:paraId="48CC88F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977" w:type="dxa"/>
            <w:vAlign w:val="center"/>
          </w:tcPr>
          <w:p w14:paraId="381BAF6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011" w:type="dxa"/>
            <w:vAlign w:val="center"/>
          </w:tcPr>
          <w:p w14:paraId="34538EA0">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012" w:type="dxa"/>
            <w:vAlign w:val="center"/>
          </w:tcPr>
          <w:p w14:paraId="203620E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58FB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545" w:type="dxa"/>
            <w:vMerge w:val="continue"/>
            <w:vAlign w:val="center"/>
          </w:tcPr>
          <w:p w14:paraId="2BB2F04F">
            <w:pPr>
              <w:widowControl/>
              <w:adjustRightInd w:val="0"/>
              <w:snapToGrid w:val="0"/>
              <w:jc w:val="both"/>
              <w:rPr>
                <w:rFonts w:ascii="仿宋" w:hAnsi="仿宋" w:eastAsia="仿宋" w:cs="Arial"/>
                <w:color w:val="auto"/>
                <w:szCs w:val="21"/>
              </w:rPr>
            </w:pPr>
          </w:p>
        </w:tc>
        <w:tc>
          <w:tcPr>
            <w:tcW w:w="703" w:type="dxa"/>
            <w:vMerge w:val="restart"/>
            <w:vAlign w:val="center"/>
          </w:tcPr>
          <w:p w14:paraId="6C431A4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w:t>
            </w:r>
          </w:p>
          <w:p w14:paraId="5779495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基准</w:t>
            </w:r>
          </w:p>
        </w:tc>
        <w:tc>
          <w:tcPr>
            <w:tcW w:w="703" w:type="dxa"/>
            <w:vAlign w:val="center"/>
          </w:tcPr>
          <w:p w14:paraId="5B7568B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p w14:paraId="6D89D2F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情形</w:t>
            </w:r>
          </w:p>
        </w:tc>
        <w:tc>
          <w:tcPr>
            <w:tcW w:w="2977" w:type="dxa"/>
            <w:vAlign w:val="center"/>
          </w:tcPr>
          <w:p w14:paraId="33F22A2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57AC6A5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14:paraId="55B25E8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并处2万元以上20万元以下的罚款。</w:t>
            </w:r>
          </w:p>
        </w:tc>
        <w:tc>
          <w:tcPr>
            <w:tcW w:w="2977" w:type="dxa"/>
            <w:vAlign w:val="center"/>
          </w:tcPr>
          <w:p w14:paraId="64BF03F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384C6AC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14:paraId="253CC3F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并处20万元以上74万元以下的罚款。</w:t>
            </w:r>
          </w:p>
        </w:tc>
        <w:tc>
          <w:tcPr>
            <w:tcW w:w="3011" w:type="dxa"/>
            <w:vAlign w:val="center"/>
          </w:tcPr>
          <w:p w14:paraId="0A17E20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64F5251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14:paraId="40D45FC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并处74万元以上146万元以下的罚款。</w:t>
            </w:r>
          </w:p>
        </w:tc>
        <w:tc>
          <w:tcPr>
            <w:tcW w:w="3012" w:type="dxa"/>
            <w:vAlign w:val="center"/>
          </w:tcPr>
          <w:p w14:paraId="40E113A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02B0284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14:paraId="66A7338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并处146万元以上200万元以下的罚款。</w:t>
            </w:r>
          </w:p>
        </w:tc>
      </w:tr>
      <w:tr w14:paraId="0402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jc w:val="center"/>
        </w:trPr>
        <w:tc>
          <w:tcPr>
            <w:tcW w:w="545" w:type="dxa"/>
            <w:vMerge w:val="continue"/>
            <w:vAlign w:val="center"/>
          </w:tcPr>
          <w:p w14:paraId="05B06246">
            <w:pPr>
              <w:widowControl/>
              <w:adjustRightInd w:val="0"/>
              <w:snapToGrid w:val="0"/>
              <w:jc w:val="both"/>
              <w:rPr>
                <w:rFonts w:ascii="仿宋" w:hAnsi="仿宋" w:eastAsia="仿宋" w:cs="Arial"/>
                <w:color w:val="auto"/>
                <w:szCs w:val="21"/>
              </w:rPr>
            </w:pPr>
          </w:p>
        </w:tc>
        <w:tc>
          <w:tcPr>
            <w:tcW w:w="703" w:type="dxa"/>
            <w:vMerge w:val="continue"/>
            <w:vAlign w:val="center"/>
          </w:tcPr>
          <w:p w14:paraId="0CE23DF2">
            <w:pPr>
              <w:widowControl/>
              <w:adjustRightInd w:val="0"/>
              <w:snapToGrid w:val="0"/>
              <w:jc w:val="both"/>
              <w:rPr>
                <w:rFonts w:ascii="仿宋" w:hAnsi="仿宋" w:eastAsia="仿宋" w:cs="Arial"/>
                <w:color w:val="auto"/>
                <w:szCs w:val="21"/>
              </w:rPr>
            </w:pPr>
          </w:p>
        </w:tc>
        <w:tc>
          <w:tcPr>
            <w:tcW w:w="703" w:type="dxa"/>
            <w:vAlign w:val="center"/>
          </w:tcPr>
          <w:p w14:paraId="4C6DF16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w:t>
            </w:r>
          </w:p>
          <w:p w14:paraId="5A3A795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严重</w:t>
            </w:r>
          </w:p>
        </w:tc>
        <w:tc>
          <w:tcPr>
            <w:tcW w:w="2977" w:type="dxa"/>
            <w:vAlign w:val="center"/>
          </w:tcPr>
          <w:p w14:paraId="3F9AC504">
            <w:pPr>
              <w:widowControl/>
              <w:adjustRightInd w:val="0"/>
              <w:snapToGrid w:val="0"/>
              <w:jc w:val="both"/>
              <w:rPr>
                <w:rFonts w:ascii="仿宋" w:hAnsi="仿宋" w:eastAsia="仿宋" w:cs="Arial"/>
                <w:color w:val="auto"/>
                <w:szCs w:val="21"/>
              </w:rPr>
            </w:pPr>
          </w:p>
        </w:tc>
        <w:tc>
          <w:tcPr>
            <w:tcW w:w="2977" w:type="dxa"/>
            <w:vAlign w:val="center"/>
          </w:tcPr>
          <w:p w14:paraId="35B458A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5F94E59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14:paraId="1BB0FF38">
            <w:pPr>
              <w:widowControl/>
              <w:adjustRightInd w:val="0"/>
              <w:snapToGrid w:val="0"/>
              <w:jc w:val="both"/>
              <w:rPr>
                <w:rFonts w:ascii="仿宋" w:hAnsi="仿宋" w:eastAsia="仿宋" w:cs="Arial"/>
                <w:b/>
                <w:bCs/>
                <w:color w:val="auto"/>
                <w:szCs w:val="21"/>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责令停业整顿；</w:t>
            </w:r>
          </w:p>
          <w:p w14:paraId="46BFFFD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val="en-US" w:eastAsia="zh-CN"/>
              </w:rPr>
              <w:t>4</w:t>
            </w:r>
            <w:r>
              <w:rPr>
                <w:rFonts w:hint="eastAsia" w:ascii="仿宋" w:hAnsi="仿宋" w:eastAsia="仿宋" w:cs="Arial"/>
                <w:b/>
                <w:bCs/>
                <w:color w:val="auto"/>
                <w:szCs w:val="21"/>
              </w:rPr>
              <w:t>.</w:t>
            </w:r>
            <w:r>
              <w:rPr>
                <w:rFonts w:hint="eastAsia" w:ascii="仿宋" w:hAnsi="仿宋" w:eastAsia="仿宋" w:cs="Arial"/>
                <w:color w:val="auto"/>
                <w:szCs w:val="21"/>
              </w:rPr>
              <w:t>并处200万元以上290万元以下的罚款。</w:t>
            </w:r>
          </w:p>
        </w:tc>
        <w:tc>
          <w:tcPr>
            <w:tcW w:w="3011" w:type="dxa"/>
            <w:vAlign w:val="center"/>
          </w:tcPr>
          <w:p w14:paraId="5A087A3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405DEE9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14:paraId="1FFBC03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责令停业整顿；</w:t>
            </w:r>
          </w:p>
          <w:p w14:paraId="00238B7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val="en-US" w:eastAsia="zh-CN"/>
              </w:rPr>
              <w:t>4</w:t>
            </w:r>
            <w:r>
              <w:rPr>
                <w:rFonts w:hint="eastAsia" w:ascii="仿宋" w:hAnsi="仿宋" w:eastAsia="仿宋" w:cs="Arial"/>
                <w:b/>
                <w:bCs/>
                <w:color w:val="auto"/>
                <w:szCs w:val="21"/>
              </w:rPr>
              <w:t>.</w:t>
            </w:r>
            <w:r>
              <w:rPr>
                <w:rFonts w:hint="eastAsia" w:ascii="仿宋" w:hAnsi="仿宋" w:eastAsia="仿宋" w:cs="Arial"/>
                <w:color w:val="auto"/>
                <w:szCs w:val="21"/>
              </w:rPr>
              <w:t>并处290万元以上410万元以下的罚款。</w:t>
            </w:r>
          </w:p>
        </w:tc>
        <w:tc>
          <w:tcPr>
            <w:tcW w:w="3012" w:type="dxa"/>
            <w:vAlign w:val="center"/>
          </w:tcPr>
          <w:p w14:paraId="05FCB74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5E460F0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14:paraId="462C8F0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责令停业整顿；</w:t>
            </w:r>
          </w:p>
          <w:p w14:paraId="2BC0E4A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val="en-US" w:eastAsia="zh-CN"/>
              </w:rPr>
              <w:t>4</w:t>
            </w:r>
            <w:r>
              <w:rPr>
                <w:rFonts w:hint="eastAsia" w:ascii="仿宋" w:hAnsi="仿宋" w:eastAsia="仿宋" w:cs="Arial"/>
                <w:b/>
                <w:bCs/>
                <w:color w:val="auto"/>
                <w:szCs w:val="21"/>
              </w:rPr>
              <w:t>.</w:t>
            </w:r>
            <w:r>
              <w:rPr>
                <w:rFonts w:hint="eastAsia" w:ascii="仿宋" w:hAnsi="仿宋" w:eastAsia="仿宋" w:cs="Arial"/>
                <w:color w:val="auto"/>
                <w:szCs w:val="21"/>
              </w:rPr>
              <w:t>并处410万元以上500万元以下的罚款。</w:t>
            </w:r>
          </w:p>
        </w:tc>
      </w:tr>
    </w:tbl>
    <w:p w14:paraId="689FF110">
      <w:pPr>
        <w:widowControl/>
        <w:tabs>
          <w:tab w:val="left" w:pos="677"/>
          <w:tab w:val="left" w:pos="2301"/>
        </w:tabs>
        <w:adjustRightInd w:val="0"/>
        <w:snapToGrid w:val="0"/>
        <w:jc w:val="both"/>
        <w:rPr>
          <w:rFonts w:ascii="宋体" w:hAnsi="宋体" w:eastAsia="宋体" w:cs="宋体"/>
          <w:b/>
          <w:bCs/>
          <w:color w:val="auto"/>
          <w:szCs w:val="21"/>
        </w:rPr>
      </w:pPr>
    </w:p>
    <w:tbl>
      <w:tblPr>
        <w:tblStyle w:val="6"/>
        <w:tblW w:w="13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709"/>
        <w:gridCol w:w="2977"/>
        <w:gridCol w:w="2977"/>
        <w:gridCol w:w="2976"/>
        <w:gridCol w:w="3052"/>
      </w:tblGrid>
      <w:tr w14:paraId="286F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restart"/>
            <w:vAlign w:val="center"/>
          </w:tcPr>
          <w:p w14:paraId="05BFC867">
            <w:pPr>
              <w:widowControl/>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15</w:t>
            </w:r>
          </w:p>
        </w:tc>
        <w:tc>
          <w:tcPr>
            <w:tcW w:w="1417" w:type="dxa"/>
            <w:gridSpan w:val="2"/>
            <w:vAlign w:val="center"/>
          </w:tcPr>
          <w:p w14:paraId="41652D5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982" w:type="dxa"/>
            <w:gridSpan w:val="4"/>
            <w:vAlign w:val="center"/>
          </w:tcPr>
          <w:p w14:paraId="77724F98">
            <w:pPr>
              <w:widowControl/>
              <w:adjustRightInd w:val="0"/>
              <w:snapToGrid w:val="0"/>
              <w:ind w:right="210"/>
              <w:jc w:val="both"/>
              <w:rPr>
                <w:rFonts w:ascii="仿宋" w:hAnsi="仿宋" w:eastAsia="仿宋" w:cs="Arial"/>
                <w:color w:val="auto"/>
                <w:szCs w:val="21"/>
              </w:rPr>
            </w:pPr>
            <w:r>
              <w:rPr>
                <w:rFonts w:hint="eastAsia" w:ascii="仿宋" w:hAnsi="仿宋" w:eastAsia="仿宋" w:cs="Arial"/>
                <w:b/>
                <w:bCs/>
                <w:color w:val="auto"/>
                <w:szCs w:val="21"/>
              </w:rPr>
              <w:t>违反</w:t>
            </w: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第一百三十三条的行为</w:t>
            </w:r>
          </w:p>
        </w:tc>
      </w:tr>
      <w:tr w14:paraId="5F0A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534" w:type="dxa"/>
            <w:vMerge w:val="continue"/>
            <w:vAlign w:val="center"/>
          </w:tcPr>
          <w:p w14:paraId="2D0BAAFB">
            <w:pPr>
              <w:widowControl/>
              <w:adjustRightInd w:val="0"/>
              <w:snapToGrid w:val="0"/>
              <w:jc w:val="both"/>
              <w:rPr>
                <w:rFonts w:ascii="仿宋" w:hAnsi="仿宋" w:eastAsia="仿宋" w:cs="Arial"/>
                <w:color w:val="auto"/>
                <w:szCs w:val="21"/>
              </w:rPr>
            </w:pPr>
          </w:p>
        </w:tc>
        <w:tc>
          <w:tcPr>
            <w:tcW w:w="1417" w:type="dxa"/>
            <w:gridSpan w:val="2"/>
            <w:vAlign w:val="center"/>
          </w:tcPr>
          <w:p w14:paraId="06C98B8F">
            <w:pPr>
              <w:widowControl/>
              <w:adjustRightInd w:val="0"/>
              <w:snapToGrid w:val="0"/>
              <w:jc w:val="both"/>
              <w:rPr>
                <w:rFonts w:ascii="仿宋" w:hAnsi="仿宋" w:eastAsia="仿宋" w:cs="Arial"/>
                <w:color w:val="auto"/>
                <w:szCs w:val="21"/>
              </w:rPr>
            </w:pPr>
          </w:p>
          <w:p w14:paraId="36751F2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982" w:type="dxa"/>
            <w:gridSpan w:val="4"/>
            <w:vAlign w:val="center"/>
          </w:tcPr>
          <w:p w14:paraId="5A40B9B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第一百三十三条：</w:t>
            </w:r>
            <w:r>
              <w:rPr>
                <w:rFonts w:hint="eastAsia" w:ascii="仿宋" w:hAnsi="仿宋" w:eastAsia="仿宋" w:cs="Arial"/>
                <w:color w:val="auto"/>
                <w:szCs w:val="21"/>
              </w:rPr>
              <w:t>违反本法规定，医疗机构将其</w:t>
            </w:r>
            <w:r>
              <w:rPr>
                <w:rFonts w:hint="eastAsia" w:ascii="仿宋" w:hAnsi="仿宋" w:eastAsia="仿宋" w:cs="Arial"/>
                <w:color w:val="auto"/>
                <w:szCs w:val="21"/>
                <w:lang w:eastAsia="zh-CN"/>
              </w:rPr>
              <w:t>配制</w:t>
            </w:r>
            <w:r>
              <w:rPr>
                <w:rFonts w:hint="eastAsia" w:ascii="仿宋" w:hAnsi="仿宋" w:eastAsia="仿宋" w:cs="Arial"/>
                <w:color w:val="auto"/>
                <w:szCs w:val="21"/>
              </w:rPr>
              <w:t>的制剂在市场上销售的，责令改正，没收违法销售的制剂和违法所得，并处违法销售制剂货值金额二倍以上五倍以下的罚款；情节严重的，并处货值金额五倍以上十五倍以下的罚款；货值金额不足五万元的，按五万元计算。</w:t>
            </w:r>
          </w:p>
        </w:tc>
      </w:tr>
      <w:tr w14:paraId="4CBB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continue"/>
            <w:vAlign w:val="center"/>
          </w:tcPr>
          <w:p w14:paraId="26379019">
            <w:pPr>
              <w:widowControl/>
              <w:adjustRightInd w:val="0"/>
              <w:snapToGrid w:val="0"/>
              <w:jc w:val="both"/>
              <w:rPr>
                <w:rFonts w:ascii="仿宋" w:hAnsi="仿宋" w:eastAsia="仿宋" w:cs="Arial"/>
                <w:color w:val="auto"/>
                <w:szCs w:val="21"/>
              </w:rPr>
            </w:pPr>
          </w:p>
        </w:tc>
        <w:tc>
          <w:tcPr>
            <w:tcW w:w="1417" w:type="dxa"/>
            <w:gridSpan w:val="2"/>
            <w:vAlign w:val="center"/>
          </w:tcPr>
          <w:p w14:paraId="4884AAF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977" w:type="dxa"/>
            <w:vAlign w:val="center"/>
          </w:tcPr>
          <w:p w14:paraId="3C8D02F4">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977" w:type="dxa"/>
            <w:vAlign w:val="center"/>
          </w:tcPr>
          <w:p w14:paraId="252EB0FD">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976" w:type="dxa"/>
            <w:vAlign w:val="center"/>
          </w:tcPr>
          <w:p w14:paraId="0DCA9E8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052" w:type="dxa"/>
            <w:vAlign w:val="center"/>
          </w:tcPr>
          <w:p w14:paraId="0ED69CF8">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从重</w:t>
            </w:r>
          </w:p>
        </w:tc>
      </w:tr>
      <w:tr w14:paraId="0CF1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jc w:val="center"/>
        </w:trPr>
        <w:tc>
          <w:tcPr>
            <w:tcW w:w="534" w:type="dxa"/>
            <w:vMerge w:val="continue"/>
            <w:vAlign w:val="center"/>
          </w:tcPr>
          <w:p w14:paraId="6D2147C9">
            <w:pPr>
              <w:widowControl/>
              <w:adjustRightInd w:val="0"/>
              <w:snapToGrid w:val="0"/>
              <w:jc w:val="both"/>
              <w:rPr>
                <w:rFonts w:ascii="仿宋" w:hAnsi="仿宋" w:eastAsia="仿宋" w:cs="Arial"/>
                <w:color w:val="auto"/>
                <w:szCs w:val="21"/>
              </w:rPr>
            </w:pPr>
          </w:p>
        </w:tc>
        <w:tc>
          <w:tcPr>
            <w:tcW w:w="1417" w:type="dxa"/>
            <w:gridSpan w:val="2"/>
            <w:vAlign w:val="center"/>
          </w:tcPr>
          <w:p w14:paraId="591BC1F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p w14:paraId="47E72CC0">
            <w:pPr>
              <w:widowControl/>
              <w:adjustRightInd w:val="0"/>
              <w:snapToGrid w:val="0"/>
              <w:jc w:val="both"/>
              <w:rPr>
                <w:rFonts w:ascii="仿宋" w:hAnsi="仿宋" w:eastAsia="仿宋" w:cs="Arial"/>
                <w:color w:val="auto"/>
                <w:szCs w:val="21"/>
              </w:rPr>
            </w:pPr>
          </w:p>
        </w:tc>
        <w:tc>
          <w:tcPr>
            <w:tcW w:w="2977" w:type="dxa"/>
            <w:vAlign w:val="center"/>
          </w:tcPr>
          <w:p w14:paraId="777B7FC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977" w:type="dxa"/>
            <w:vAlign w:val="center"/>
          </w:tcPr>
          <w:p w14:paraId="30B7901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（一）初次违法销售制剂，危害后果轻微的；</w:t>
            </w:r>
          </w:p>
          <w:p w14:paraId="452A02E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（二）违法销售行为发生在医疗联合体、医疗集团或者医疗“连锁”机构内的；</w:t>
            </w:r>
          </w:p>
          <w:p w14:paraId="3CAB231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（三）其他符合裁量规则从轻行政处罚情形的。</w:t>
            </w:r>
          </w:p>
        </w:tc>
        <w:tc>
          <w:tcPr>
            <w:tcW w:w="2976" w:type="dxa"/>
            <w:vAlign w:val="center"/>
          </w:tcPr>
          <w:p w14:paraId="0BCEDB49">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052" w:type="dxa"/>
            <w:vAlign w:val="center"/>
          </w:tcPr>
          <w:p w14:paraId="3C166BA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4E0B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jc w:val="center"/>
        </w:trPr>
        <w:tc>
          <w:tcPr>
            <w:tcW w:w="534" w:type="dxa"/>
            <w:vMerge w:val="continue"/>
            <w:vAlign w:val="center"/>
          </w:tcPr>
          <w:p w14:paraId="05BA4079">
            <w:pPr>
              <w:widowControl/>
              <w:adjustRightInd w:val="0"/>
              <w:snapToGrid w:val="0"/>
              <w:jc w:val="both"/>
              <w:rPr>
                <w:rFonts w:ascii="仿宋" w:hAnsi="仿宋" w:eastAsia="仿宋" w:cs="Arial"/>
                <w:color w:val="auto"/>
                <w:szCs w:val="21"/>
              </w:rPr>
            </w:pPr>
          </w:p>
        </w:tc>
        <w:tc>
          <w:tcPr>
            <w:tcW w:w="708" w:type="dxa"/>
            <w:vMerge w:val="restart"/>
            <w:vAlign w:val="center"/>
          </w:tcPr>
          <w:p w14:paraId="75AD433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w:t>
            </w:r>
          </w:p>
          <w:p w14:paraId="6A79C4B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基准</w:t>
            </w:r>
          </w:p>
        </w:tc>
        <w:tc>
          <w:tcPr>
            <w:tcW w:w="709" w:type="dxa"/>
            <w:vAlign w:val="center"/>
          </w:tcPr>
          <w:p w14:paraId="4103CBC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p w14:paraId="6BB4608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情形</w:t>
            </w:r>
          </w:p>
        </w:tc>
        <w:tc>
          <w:tcPr>
            <w:tcW w:w="2977" w:type="dxa"/>
            <w:vAlign w:val="center"/>
          </w:tcPr>
          <w:p w14:paraId="7777BA7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4483523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没收违法销售的制剂和违法所得；</w:t>
            </w:r>
          </w:p>
          <w:p w14:paraId="22F3B353">
            <w:pPr>
              <w:widowControl/>
              <w:adjustRightInd w:val="0"/>
              <w:snapToGrid w:val="0"/>
              <w:jc w:val="both"/>
              <w:rPr>
                <w:rFonts w:hint="eastAsia" w:ascii="仿宋" w:hAnsi="仿宋" w:eastAsia="仿宋" w:cs="Arial"/>
                <w:color w:val="auto"/>
                <w:szCs w:val="21"/>
                <w:lang w:eastAsia="zh-CN"/>
              </w:rPr>
            </w:pPr>
            <w:r>
              <w:rPr>
                <w:rFonts w:hint="eastAsia" w:ascii="仿宋" w:hAnsi="仿宋" w:eastAsia="仿宋" w:cs="Arial"/>
                <w:b/>
                <w:bCs/>
                <w:color w:val="auto"/>
                <w:szCs w:val="21"/>
              </w:rPr>
              <w:t>3.</w:t>
            </w:r>
            <w:r>
              <w:rPr>
                <w:rFonts w:hint="eastAsia" w:ascii="仿宋" w:hAnsi="仿宋" w:eastAsia="仿宋" w:cs="Arial"/>
                <w:color w:val="auto"/>
                <w:szCs w:val="21"/>
              </w:rPr>
              <w:t>并处违法销售制剂货值金额0.2倍以上2倍以下的罚款</w:t>
            </w:r>
            <w:r>
              <w:rPr>
                <w:rFonts w:hint="eastAsia" w:ascii="仿宋" w:hAnsi="仿宋" w:eastAsia="仿宋" w:cs="Arial"/>
                <w:color w:val="auto"/>
                <w:szCs w:val="21"/>
                <w:lang w:eastAsia="zh-CN"/>
              </w:rPr>
              <w:t>；</w:t>
            </w:r>
          </w:p>
          <w:p w14:paraId="3D3C1A12">
            <w:pPr>
              <w:widowControl/>
              <w:adjustRightInd w:val="0"/>
              <w:snapToGrid w:val="0"/>
              <w:jc w:val="both"/>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c>
          <w:tcPr>
            <w:tcW w:w="2977" w:type="dxa"/>
            <w:vAlign w:val="center"/>
          </w:tcPr>
          <w:p w14:paraId="4D32F9F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r>
              <w:rPr>
                <w:rFonts w:hint="eastAsia" w:ascii="仿宋" w:hAnsi="仿宋" w:eastAsia="仿宋" w:cs="Arial"/>
                <w:color w:val="auto"/>
                <w:szCs w:val="21"/>
                <w:lang w:eastAsia="zh-CN"/>
              </w:rPr>
              <w:t>；</w:t>
            </w:r>
          </w:p>
          <w:p w14:paraId="26BB00E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没收违法销售的制剂和违法所得；</w:t>
            </w:r>
          </w:p>
          <w:p w14:paraId="5E614BC8">
            <w:pPr>
              <w:widowControl/>
              <w:adjustRightInd w:val="0"/>
              <w:snapToGrid w:val="0"/>
              <w:jc w:val="both"/>
              <w:rPr>
                <w:rFonts w:hint="eastAsia"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并处违法销售制剂货值金额2倍以上2.9倍以下的罚款</w:t>
            </w:r>
            <w:r>
              <w:rPr>
                <w:rFonts w:hint="eastAsia" w:ascii="仿宋" w:hAnsi="仿宋" w:eastAsia="仿宋" w:cs="Arial"/>
                <w:color w:val="auto"/>
                <w:szCs w:val="21"/>
                <w:lang w:eastAsia="zh-CN"/>
              </w:rPr>
              <w:t>；</w:t>
            </w:r>
          </w:p>
          <w:p w14:paraId="405A4538">
            <w:pPr>
              <w:widowControl/>
              <w:adjustRightInd w:val="0"/>
              <w:snapToGrid w:val="0"/>
              <w:jc w:val="both"/>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c>
          <w:tcPr>
            <w:tcW w:w="2976" w:type="dxa"/>
            <w:vAlign w:val="center"/>
          </w:tcPr>
          <w:p w14:paraId="6DE5353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30E5689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没收违法销售的制剂和违法所得；</w:t>
            </w:r>
          </w:p>
          <w:p w14:paraId="6C684853">
            <w:pPr>
              <w:widowControl/>
              <w:adjustRightInd w:val="0"/>
              <w:snapToGrid w:val="0"/>
              <w:jc w:val="both"/>
              <w:rPr>
                <w:rFonts w:hint="eastAsia" w:ascii="仿宋" w:hAnsi="仿宋" w:eastAsia="仿宋" w:cs="Arial"/>
                <w:color w:val="auto"/>
                <w:szCs w:val="21"/>
                <w:lang w:eastAsia="zh-CN"/>
              </w:rPr>
            </w:pPr>
            <w:r>
              <w:rPr>
                <w:rFonts w:hint="eastAsia" w:ascii="仿宋" w:hAnsi="仿宋" w:eastAsia="仿宋" w:cs="Arial"/>
                <w:b/>
                <w:bCs/>
                <w:color w:val="auto"/>
                <w:szCs w:val="21"/>
              </w:rPr>
              <w:t>3.</w:t>
            </w:r>
            <w:r>
              <w:rPr>
                <w:rFonts w:hint="eastAsia" w:ascii="仿宋" w:hAnsi="仿宋" w:eastAsia="仿宋" w:cs="Arial"/>
                <w:color w:val="auto"/>
                <w:szCs w:val="21"/>
              </w:rPr>
              <w:t>并处违法销售制剂货值金额2.9倍以上4.1倍以下的罚款</w:t>
            </w:r>
            <w:r>
              <w:rPr>
                <w:rFonts w:hint="eastAsia" w:ascii="仿宋" w:hAnsi="仿宋" w:eastAsia="仿宋" w:cs="Arial"/>
                <w:color w:val="auto"/>
                <w:szCs w:val="21"/>
                <w:lang w:eastAsia="zh-CN"/>
              </w:rPr>
              <w:t>；</w:t>
            </w:r>
          </w:p>
          <w:p w14:paraId="4FCF3491">
            <w:pPr>
              <w:widowControl/>
              <w:adjustRightInd w:val="0"/>
              <w:snapToGrid w:val="0"/>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c>
          <w:tcPr>
            <w:tcW w:w="3052" w:type="dxa"/>
            <w:vAlign w:val="center"/>
          </w:tcPr>
          <w:p w14:paraId="2A30F5E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14:paraId="6E955F6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没收违法销售的制剂和违法所得；</w:t>
            </w:r>
          </w:p>
          <w:p w14:paraId="5EB5E725">
            <w:pPr>
              <w:widowControl/>
              <w:adjustRightInd w:val="0"/>
              <w:snapToGrid w:val="0"/>
              <w:jc w:val="both"/>
              <w:rPr>
                <w:rFonts w:hint="eastAsia" w:ascii="仿宋" w:hAnsi="仿宋" w:eastAsia="仿宋" w:cs="Arial"/>
                <w:color w:val="auto"/>
                <w:szCs w:val="21"/>
                <w:lang w:eastAsia="zh-CN"/>
              </w:rPr>
            </w:pPr>
            <w:r>
              <w:rPr>
                <w:rFonts w:hint="eastAsia" w:ascii="仿宋" w:hAnsi="仿宋" w:eastAsia="仿宋" w:cs="Arial"/>
                <w:b/>
                <w:bCs/>
                <w:color w:val="auto"/>
                <w:szCs w:val="21"/>
              </w:rPr>
              <w:t>3.</w:t>
            </w:r>
            <w:r>
              <w:rPr>
                <w:rFonts w:hint="eastAsia" w:ascii="仿宋" w:hAnsi="仿宋" w:eastAsia="仿宋" w:cs="Arial"/>
                <w:color w:val="auto"/>
                <w:szCs w:val="21"/>
              </w:rPr>
              <w:t>并处违法销售制剂货值金额4.1倍以上5倍以下的罚款</w:t>
            </w:r>
            <w:r>
              <w:rPr>
                <w:rFonts w:hint="eastAsia" w:ascii="仿宋" w:hAnsi="仿宋" w:eastAsia="仿宋" w:cs="Arial"/>
                <w:color w:val="auto"/>
                <w:szCs w:val="21"/>
                <w:lang w:eastAsia="zh-CN"/>
              </w:rPr>
              <w:t>；</w:t>
            </w:r>
          </w:p>
          <w:p w14:paraId="02BC71FD">
            <w:pPr>
              <w:widowControl/>
              <w:adjustRightInd w:val="0"/>
              <w:snapToGrid w:val="0"/>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r>
      <w:tr w14:paraId="77FB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jc w:val="center"/>
        </w:trPr>
        <w:tc>
          <w:tcPr>
            <w:tcW w:w="534" w:type="dxa"/>
            <w:vMerge w:val="continue"/>
            <w:vAlign w:val="center"/>
          </w:tcPr>
          <w:p w14:paraId="3C74932C">
            <w:pPr>
              <w:widowControl/>
              <w:adjustRightInd w:val="0"/>
              <w:snapToGrid w:val="0"/>
              <w:jc w:val="both"/>
              <w:rPr>
                <w:rFonts w:ascii="仿宋" w:hAnsi="仿宋" w:eastAsia="仿宋" w:cs="Arial"/>
                <w:color w:val="auto"/>
                <w:szCs w:val="21"/>
              </w:rPr>
            </w:pPr>
          </w:p>
        </w:tc>
        <w:tc>
          <w:tcPr>
            <w:tcW w:w="708" w:type="dxa"/>
            <w:vMerge w:val="continue"/>
            <w:vAlign w:val="center"/>
          </w:tcPr>
          <w:p w14:paraId="0B48495C">
            <w:pPr>
              <w:widowControl/>
              <w:adjustRightInd w:val="0"/>
              <w:snapToGrid w:val="0"/>
              <w:jc w:val="both"/>
              <w:rPr>
                <w:rFonts w:ascii="仿宋" w:hAnsi="仿宋" w:eastAsia="仿宋" w:cs="Arial"/>
                <w:color w:val="auto"/>
                <w:szCs w:val="21"/>
              </w:rPr>
            </w:pPr>
          </w:p>
        </w:tc>
        <w:tc>
          <w:tcPr>
            <w:tcW w:w="709" w:type="dxa"/>
            <w:vAlign w:val="center"/>
          </w:tcPr>
          <w:p w14:paraId="0A0F609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w:t>
            </w:r>
          </w:p>
          <w:p w14:paraId="3B7F58A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严重</w:t>
            </w:r>
          </w:p>
        </w:tc>
        <w:tc>
          <w:tcPr>
            <w:tcW w:w="2977" w:type="dxa"/>
            <w:vAlign w:val="center"/>
          </w:tcPr>
          <w:p w14:paraId="2F252CBF">
            <w:pPr>
              <w:widowControl/>
              <w:adjustRightInd w:val="0"/>
              <w:snapToGrid w:val="0"/>
              <w:jc w:val="both"/>
              <w:rPr>
                <w:rFonts w:ascii="仿宋" w:hAnsi="仿宋" w:eastAsia="仿宋" w:cs="Arial"/>
                <w:color w:val="auto"/>
                <w:szCs w:val="21"/>
              </w:rPr>
            </w:pPr>
          </w:p>
        </w:tc>
        <w:tc>
          <w:tcPr>
            <w:tcW w:w="2977" w:type="dxa"/>
            <w:vAlign w:val="center"/>
          </w:tcPr>
          <w:p w14:paraId="7A73C21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r>
              <w:rPr>
                <w:rFonts w:hint="eastAsia" w:ascii="仿宋" w:hAnsi="仿宋" w:eastAsia="仿宋" w:cs="Arial"/>
                <w:color w:val="auto"/>
                <w:szCs w:val="21"/>
                <w:lang w:eastAsia="zh-CN"/>
              </w:rPr>
              <w:t>；</w:t>
            </w:r>
          </w:p>
          <w:p w14:paraId="4CDC620C">
            <w:pPr>
              <w:widowControl/>
              <w:adjustRightInd w:val="0"/>
              <w:snapToGrid w:val="0"/>
              <w:jc w:val="both"/>
              <w:rPr>
                <w:rFonts w:ascii="仿宋" w:hAnsi="仿宋" w:eastAsia="仿宋" w:cs="Arial"/>
                <w:b/>
                <w:bCs/>
                <w:color w:val="auto"/>
                <w:szCs w:val="21"/>
              </w:rPr>
            </w:pPr>
            <w:r>
              <w:rPr>
                <w:rFonts w:hint="eastAsia" w:ascii="仿宋" w:hAnsi="仿宋" w:eastAsia="仿宋" w:cs="Arial"/>
                <w:b/>
                <w:bCs/>
                <w:color w:val="auto"/>
                <w:szCs w:val="21"/>
                <w:lang w:val="en-US" w:eastAsia="zh-CN"/>
              </w:rPr>
              <w:t>2</w:t>
            </w:r>
            <w:r>
              <w:rPr>
                <w:rFonts w:hint="eastAsia" w:ascii="仿宋" w:hAnsi="仿宋" w:eastAsia="仿宋" w:cs="Arial"/>
                <w:b/>
                <w:bCs/>
                <w:color w:val="auto"/>
                <w:szCs w:val="21"/>
              </w:rPr>
              <w:t>.</w:t>
            </w:r>
            <w:r>
              <w:rPr>
                <w:rFonts w:hint="eastAsia" w:ascii="仿宋" w:hAnsi="仿宋" w:eastAsia="仿宋" w:cs="Arial"/>
                <w:color w:val="auto"/>
                <w:szCs w:val="21"/>
              </w:rPr>
              <w:t>没收违法销售的制剂和违法所得；</w:t>
            </w:r>
          </w:p>
          <w:p w14:paraId="23BCD5DC">
            <w:pPr>
              <w:widowControl/>
              <w:adjustRightInd w:val="0"/>
              <w:snapToGrid w:val="0"/>
              <w:jc w:val="both"/>
              <w:rPr>
                <w:rFonts w:hint="eastAsia" w:ascii="仿宋" w:hAnsi="仿宋" w:eastAsia="仿宋" w:cs="Arial"/>
                <w:color w:val="auto"/>
                <w:szCs w:val="21"/>
                <w:lang w:eastAsia="zh-CN"/>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并处违法销售制剂货值金额5倍以上8倍以下的罚款</w:t>
            </w:r>
            <w:r>
              <w:rPr>
                <w:rFonts w:hint="eastAsia" w:ascii="仿宋" w:hAnsi="仿宋" w:eastAsia="仿宋" w:cs="Arial"/>
                <w:color w:val="auto"/>
                <w:szCs w:val="21"/>
                <w:lang w:eastAsia="zh-CN"/>
              </w:rPr>
              <w:t>；</w:t>
            </w:r>
          </w:p>
          <w:p w14:paraId="463C3CDA">
            <w:pPr>
              <w:widowControl/>
              <w:adjustRightInd w:val="0"/>
              <w:snapToGrid w:val="0"/>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c>
          <w:tcPr>
            <w:tcW w:w="2976" w:type="dxa"/>
            <w:vAlign w:val="center"/>
          </w:tcPr>
          <w:p w14:paraId="39BFAB1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r>
              <w:rPr>
                <w:rFonts w:hint="eastAsia" w:ascii="仿宋" w:hAnsi="仿宋" w:eastAsia="仿宋" w:cs="Arial"/>
                <w:color w:val="auto"/>
                <w:szCs w:val="21"/>
                <w:lang w:eastAsia="zh-CN"/>
              </w:rPr>
              <w:t>；</w:t>
            </w:r>
          </w:p>
          <w:p w14:paraId="5DE34FB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val="en-US" w:eastAsia="zh-CN"/>
              </w:rPr>
              <w:t>2</w:t>
            </w:r>
            <w:r>
              <w:rPr>
                <w:rFonts w:hint="eastAsia" w:ascii="仿宋" w:hAnsi="仿宋" w:eastAsia="仿宋" w:cs="Arial"/>
                <w:b/>
                <w:bCs/>
                <w:color w:val="auto"/>
                <w:szCs w:val="21"/>
              </w:rPr>
              <w:t>.</w:t>
            </w:r>
            <w:r>
              <w:rPr>
                <w:rFonts w:hint="eastAsia" w:ascii="仿宋" w:hAnsi="仿宋" w:eastAsia="仿宋" w:cs="Arial"/>
                <w:color w:val="auto"/>
                <w:szCs w:val="21"/>
              </w:rPr>
              <w:t>没收违法销售的制剂和违法所得；</w:t>
            </w:r>
          </w:p>
          <w:p w14:paraId="5422434C">
            <w:pPr>
              <w:widowControl/>
              <w:adjustRightInd w:val="0"/>
              <w:snapToGrid w:val="0"/>
              <w:jc w:val="both"/>
              <w:rPr>
                <w:rFonts w:hint="eastAsia" w:ascii="仿宋" w:hAnsi="仿宋" w:eastAsia="仿宋" w:cs="Arial"/>
                <w:color w:val="auto"/>
                <w:szCs w:val="21"/>
                <w:lang w:eastAsia="zh-CN"/>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并处违法销售制剂货值金额8倍以上12倍以下的罚款</w:t>
            </w:r>
            <w:r>
              <w:rPr>
                <w:rFonts w:hint="eastAsia" w:ascii="仿宋" w:hAnsi="仿宋" w:eastAsia="仿宋" w:cs="Arial"/>
                <w:color w:val="auto"/>
                <w:szCs w:val="21"/>
                <w:lang w:eastAsia="zh-CN"/>
              </w:rPr>
              <w:t>；</w:t>
            </w:r>
          </w:p>
          <w:p w14:paraId="0EED9796">
            <w:pPr>
              <w:widowControl/>
              <w:adjustRightInd w:val="0"/>
              <w:snapToGrid w:val="0"/>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c>
          <w:tcPr>
            <w:tcW w:w="3052" w:type="dxa"/>
            <w:vAlign w:val="center"/>
          </w:tcPr>
          <w:p w14:paraId="0957F88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r>
              <w:rPr>
                <w:rFonts w:hint="eastAsia" w:ascii="仿宋" w:hAnsi="仿宋" w:eastAsia="仿宋" w:cs="Arial"/>
                <w:color w:val="auto"/>
                <w:szCs w:val="21"/>
                <w:lang w:eastAsia="zh-CN"/>
              </w:rPr>
              <w:t>；</w:t>
            </w:r>
          </w:p>
          <w:p w14:paraId="2CC56AB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val="en-US" w:eastAsia="zh-CN"/>
              </w:rPr>
              <w:t>2</w:t>
            </w:r>
            <w:r>
              <w:rPr>
                <w:rFonts w:hint="eastAsia" w:ascii="仿宋" w:hAnsi="仿宋" w:eastAsia="仿宋" w:cs="Arial"/>
                <w:b/>
                <w:bCs/>
                <w:color w:val="auto"/>
                <w:szCs w:val="21"/>
              </w:rPr>
              <w:t>.</w:t>
            </w:r>
            <w:r>
              <w:rPr>
                <w:rFonts w:hint="eastAsia" w:ascii="仿宋" w:hAnsi="仿宋" w:eastAsia="仿宋" w:cs="Arial"/>
                <w:color w:val="auto"/>
                <w:szCs w:val="21"/>
              </w:rPr>
              <w:t>没收违法销售的制剂和违法所得；</w:t>
            </w:r>
          </w:p>
          <w:p w14:paraId="7CD64749">
            <w:pPr>
              <w:widowControl/>
              <w:adjustRightInd w:val="0"/>
              <w:snapToGrid w:val="0"/>
              <w:jc w:val="both"/>
              <w:rPr>
                <w:rFonts w:hint="eastAsia" w:ascii="仿宋" w:hAnsi="仿宋" w:eastAsia="仿宋" w:cs="Arial"/>
                <w:color w:val="auto"/>
                <w:szCs w:val="21"/>
                <w:lang w:eastAsia="zh-CN"/>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并处违法销售制剂货值金额12倍以上15倍以下的罚款</w:t>
            </w:r>
            <w:r>
              <w:rPr>
                <w:rFonts w:hint="eastAsia" w:ascii="仿宋" w:hAnsi="仿宋" w:eastAsia="仿宋" w:cs="Arial"/>
                <w:color w:val="auto"/>
                <w:szCs w:val="21"/>
                <w:lang w:eastAsia="zh-CN"/>
              </w:rPr>
              <w:t>；</w:t>
            </w:r>
          </w:p>
          <w:p w14:paraId="144B2B6E">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r>
    </w:tbl>
    <w:p w14:paraId="0FE7B2D3">
      <w:pPr>
        <w:widowControl/>
        <w:tabs>
          <w:tab w:val="left" w:pos="2209"/>
        </w:tabs>
        <w:adjustRightInd w:val="0"/>
        <w:spacing w:line="240" w:lineRule="exact"/>
        <w:jc w:val="both"/>
        <w:rPr>
          <w:rFonts w:ascii="宋体" w:hAnsi="宋体" w:eastAsia="宋体" w:cs="宋体"/>
          <w:b/>
          <w:bCs/>
          <w:color w:val="auto"/>
          <w:szCs w:val="21"/>
        </w:rPr>
      </w:pPr>
    </w:p>
    <w:p w14:paraId="36417077">
      <w:pPr>
        <w:widowControl/>
        <w:shd w:val="clear" w:color="auto" w:fill="FFFFFF"/>
        <w:adjustRightInd w:val="0"/>
        <w:snapToGrid w:val="0"/>
        <w:jc w:val="both"/>
        <w:rPr>
          <w:rFonts w:ascii="仿宋" w:hAnsi="仿宋" w:eastAsia="仿宋" w:cs="宋体"/>
          <w:vanish/>
          <w:color w:val="333333"/>
          <w:szCs w:val="21"/>
        </w:rPr>
      </w:pPr>
    </w:p>
    <w:tbl>
      <w:tblPr>
        <w:tblStyle w:val="6"/>
        <w:tblW w:w="13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1185"/>
        <w:gridCol w:w="3206"/>
        <w:gridCol w:w="2765"/>
        <w:gridCol w:w="2766"/>
        <w:gridCol w:w="2835"/>
      </w:tblGrid>
      <w:tr w14:paraId="5059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restart"/>
            <w:vAlign w:val="center"/>
          </w:tcPr>
          <w:p w14:paraId="385C09A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16</w:t>
            </w:r>
          </w:p>
        </w:tc>
        <w:tc>
          <w:tcPr>
            <w:tcW w:w="1752" w:type="dxa"/>
            <w:gridSpan w:val="2"/>
            <w:vAlign w:val="center"/>
          </w:tcPr>
          <w:p w14:paraId="684F534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572" w:type="dxa"/>
            <w:gridSpan w:val="4"/>
            <w:vAlign w:val="center"/>
          </w:tcPr>
          <w:p w14:paraId="5A6DAEC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未按照规定报告疑似药品不良反应的</w:t>
            </w:r>
          </w:p>
        </w:tc>
      </w:tr>
      <w:tr w14:paraId="0B62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534" w:type="dxa"/>
            <w:vMerge w:val="continue"/>
            <w:vAlign w:val="center"/>
          </w:tcPr>
          <w:p w14:paraId="555B035E">
            <w:pPr>
              <w:widowControl/>
              <w:adjustRightInd w:val="0"/>
              <w:snapToGrid w:val="0"/>
              <w:jc w:val="both"/>
              <w:rPr>
                <w:rFonts w:ascii="仿宋" w:hAnsi="仿宋" w:eastAsia="仿宋" w:cs="Arial"/>
                <w:color w:val="auto"/>
                <w:szCs w:val="21"/>
              </w:rPr>
            </w:pPr>
          </w:p>
        </w:tc>
        <w:tc>
          <w:tcPr>
            <w:tcW w:w="1752" w:type="dxa"/>
            <w:gridSpan w:val="2"/>
            <w:vAlign w:val="center"/>
          </w:tcPr>
          <w:p w14:paraId="1D3F039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572" w:type="dxa"/>
            <w:gridSpan w:val="4"/>
            <w:vAlign w:val="center"/>
          </w:tcPr>
          <w:p w14:paraId="42879152">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第一百三十四条第一款：</w:t>
            </w:r>
            <w:r>
              <w:rPr>
                <w:rFonts w:hint="eastAsia" w:ascii="仿宋" w:hAnsi="仿宋" w:eastAsia="仿宋" w:cs="Arial"/>
                <w:color w:val="auto"/>
                <w:szCs w:val="21"/>
              </w:rPr>
              <w:t>药品上市许可持有人未按照规定开展药品不良反应监测或者报告疑似药品不良反应的，责令限期改正，给予警告；逾期不改正的，责令停产停业整顿，并处十万元以上一百万元以下的罚款。</w:t>
            </w:r>
          </w:p>
          <w:p w14:paraId="59A031ED">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第二款：</w:t>
            </w:r>
            <w:r>
              <w:rPr>
                <w:rFonts w:hint="eastAsia" w:ascii="仿宋" w:hAnsi="仿宋" w:eastAsia="仿宋" w:cs="Arial"/>
                <w:color w:val="auto"/>
                <w:szCs w:val="21"/>
              </w:rPr>
              <w:t>药品经营企业未按照规定报告疑似药品不良反应的，责令限期改正，给予警告；逾期不改正的，责令停产停业整顿，并处五万元以上五十万元以下的罚款。</w:t>
            </w:r>
          </w:p>
          <w:p w14:paraId="78DD9E48">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第三款：</w:t>
            </w:r>
            <w:r>
              <w:rPr>
                <w:rFonts w:hint="eastAsia" w:ascii="仿宋" w:hAnsi="仿宋" w:eastAsia="仿宋" w:cs="Arial"/>
                <w:color w:val="auto"/>
                <w:szCs w:val="21"/>
              </w:rPr>
              <w:t>医疗机构未按照规定报告疑似药品不良反应的，责令限期改正，给予警告；逾期不改正的，处五万元以上五十万元以下的罚款。</w:t>
            </w:r>
          </w:p>
        </w:tc>
      </w:tr>
      <w:tr w14:paraId="4624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vAlign w:val="center"/>
          </w:tcPr>
          <w:p w14:paraId="412FE606">
            <w:pPr>
              <w:widowControl/>
              <w:adjustRightInd w:val="0"/>
              <w:snapToGrid w:val="0"/>
              <w:jc w:val="both"/>
              <w:rPr>
                <w:rFonts w:ascii="仿宋" w:hAnsi="仿宋" w:eastAsia="仿宋" w:cs="Arial"/>
                <w:color w:val="auto"/>
                <w:szCs w:val="21"/>
              </w:rPr>
            </w:pPr>
          </w:p>
        </w:tc>
        <w:tc>
          <w:tcPr>
            <w:tcW w:w="1752" w:type="dxa"/>
            <w:gridSpan w:val="2"/>
            <w:vAlign w:val="center"/>
          </w:tcPr>
          <w:p w14:paraId="4992DD2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3206" w:type="dxa"/>
            <w:vAlign w:val="center"/>
          </w:tcPr>
          <w:p w14:paraId="175015A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765" w:type="dxa"/>
            <w:vAlign w:val="center"/>
          </w:tcPr>
          <w:p w14:paraId="4EB1CAC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766" w:type="dxa"/>
            <w:vAlign w:val="center"/>
          </w:tcPr>
          <w:p w14:paraId="0978129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2835" w:type="dxa"/>
            <w:vAlign w:val="center"/>
          </w:tcPr>
          <w:p w14:paraId="36CDF50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2657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534" w:type="dxa"/>
            <w:vMerge w:val="continue"/>
            <w:vAlign w:val="center"/>
          </w:tcPr>
          <w:p w14:paraId="06B9FE4E">
            <w:pPr>
              <w:widowControl/>
              <w:adjustRightInd w:val="0"/>
              <w:snapToGrid w:val="0"/>
              <w:jc w:val="both"/>
              <w:rPr>
                <w:rFonts w:ascii="仿宋" w:hAnsi="仿宋" w:eastAsia="仿宋" w:cs="Arial"/>
                <w:color w:val="auto"/>
                <w:szCs w:val="21"/>
              </w:rPr>
            </w:pPr>
          </w:p>
        </w:tc>
        <w:tc>
          <w:tcPr>
            <w:tcW w:w="1752" w:type="dxa"/>
            <w:gridSpan w:val="2"/>
            <w:vAlign w:val="center"/>
          </w:tcPr>
          <w:p w14:paraId="03D6CEB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3206" w:type="dxa"/>
            <w:vAlign w:val="center"/>
          </w:tcPr>
          <w:p w14:paraId="69E81F40">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（一）涉及非重点监测品种的；</w:t>
            </w:r>
          </w:p>
          <w:p w14:paraId="74FF6248">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（二）涉及非群体性不良反应的；</w:t>
            </w:r>
          </w:p>
          <w:p w14:paraId="370C9A47">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（三）其他符合裁量规则减轻行政处罚情形的。</w:t>
            </w:r>
          </w:p>
        </w:tc>
        <w:tc>
          <w:tcPr>
            <w:tcW w:w="2765" w:type="dxa"/>
            <w:vAlign w:val="center"/>
          </w:tcPr>
          <w:p w14:paraId="13D18B44">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766" w:type="dxa"/>
            <w:vAlign w:val="center"/>
          </w:tcPr>
          <w:p w14:paraId="68C6DCC5">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2835" w:type="dxa"/>
            <w:vAlign w:val="center"/>
          </w:tcPr>
          <w:p w14:paraId="477A0506">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579D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continue"/>
            <w:vAlign w:val="center"/>
          </w:tcPr>
          <w:p w14:paraId="2A0BEEF4">
            <w:pPr>
              <w:widowControl/>
              <w:adjustRightInd w:val="0"/>
              <w:snapToGrid w:val="0"/>
              <w:jc w:val="both"/>
              <w:rPr>
                <w:rFonts w:ascii="仿宋" w:hAnsi="仿宋" w:eastAsia="仿宋" w:cs="Arial"/>
                <w:color w:val="auto"/>
                <w:szCs w:val="21"/>
              </w:rPr>
            </w:pPr>
          </w:p>
        </w:tc>
        <w:tc>
          <w:tcPr>
            <w:tcW w:w="567" w:type="dxa"/>
            <w:vMerge w:val="restart"/>
            <w:vAlign w:val="center"/>
          </w:tcPr>
          <w:p w14:paraId="6C28534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w:t>
            </w:r>
          </w:p>
          <w:p w14:paraId="57E34A5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量</w:t>
            </w:r>
          </w:p>
          <w:p w14:paraId="08A8BE6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w:t>
            </w:r>
          </w:p>
          <w:p w14:paraId="55940A2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准</w:t>
            </w:r>
          </w:p>
        </w:tc>
        <w:tc>
          <w:tcPr>
            <w:tcW w:w="1185" w:type="dxa"/>
            <w:vMerge w:val="restart"/>
            <w:vAlign w:val="center"/>
          </w:tcPr>
          <w:p w14:paraId="6415660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对药品上市许可持有的处罚</w:t>
            </w:r>
          </w:p>
        </w:tc>
        <w:tc>
          <w:tcPr>
            <w:tcW w:w="3206" w:type="dxa"/>
            <w:vAlign w:val="center"/>
          </w:tcPr>
          <w:p w14:paraId="12C44A15">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765" w:type="dxa"/>
            <w:vAlign w:val="center"/>
          </w:tcPr>
          <w:p w14:paraId="415D1476">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766" w:type="dxa"/>
            <w:vAlign w:val="center"/>
          </w:tcPr>
          <w:p w14:paraId="535023A1">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835" w:type="dxa"/>
            <w:vAlign w:val="center"/>
          </w:tcPr>
          <w:p w14:paraId="1DAC37BD">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责令限期改正，给予警告。</w:t>
            </w:r>
          </w:p>
        </w:tc>
      </w:tr>
      <w:tr w14:paraId="4806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534" w:type="dxa"/>
            <w:vMerge w:val="continue"/>
            <w:vAlign w:val="center"/>
          </w:tcPr>
          <w:p w14:paraId="1D52CAAD">
            <w:pPr>
              <w:widowControl/>
              <w:adjustRightInd w:val="0"/>
              <w:snapToGrid w:val="0"/>
              <w:jc w:val="both"/>
              <w:rPr>
                <w:rFonts w:ascii="仿宋" w:hAnsi="仿宋" w:eastAsia="仿宋" w:cs="Arial"/>
                <w:color w:val="auto"/>
                <w:szCs w:val="21"/>
              </w:rPr>
            </w:pPr>
          </w:p>
        </w:tc>
        <w:tc>
          <w:tcPr>
            <w:tcW w:w="567" w:type="dxa"/>
            <w:vMerge w:val="continue"/>
            <w:vAlign w:val="center"/>
          </w:tcPr>
          <w:p w14:paraId="3F6179E9">
            <w:pPr>
              <w:widowControl/>
              <w:adjustRightInd w:val="0"/>
              <w:snapToGrid w:val="0"/>
              <w:jc w:val="both"/>
              <w:rPr>
                <w:rFonts w:ascii="仿宋" w:hAnsi="仿宋" w:eastAsia="仿宋" w:cs="Arial"/>
                <w:color w:val="auto"/>
                <w:szCs w:val="21"/>
              </w:rPr>
            </w:pPr>
          </w:p>
        </w:tc>
        <w:tc>
          <w:tcPr>
            <w:tcW w:w="1185" w:type="dxa"/>
            <w:vMerge w:val="continue"/>
            <w:vAlign w:val="center"/>
          </w:tcPr>
          <w:p w14:paraId="22D3E2D1">
            <w:pPr>
              <w:widowControl/>
              <w:adjustRightInd w:val="0"/>
              <w:snapToGrid w:val="0"/>
              <w:jc w:val="both"/>
              <w:rPr>
                <w:rFonts w:ascii="仿宋" w:hAnsi="仿宋" w:eastAsia="仿宋" w:cs="Arial"/>
                <w:color w:val="auto"/>
                <w:szCs w:val="21"/>
              </w:rPr>
            </w:pPr>
          </w:p>
        </w:tc>
        <w:tc>
          <w:tcPr>
            <w:tcW w:w="3206" w:type="dxa"/>
            <w:vAlign w:val="center"/>
          </w:tcPr>
          <w:p w14:paraId="4789D430">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14:paraId="3346830A">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.并处1万元以上10万元以下的罚款。</w:t>
            </w:r>
          </w:p>
        </w:tc>
        <w:tc>
          <w:tcPr>
            <w:tcW w:w="2765" w:type="dxa"/>
            <w:vAlign w:val="center"/>
          </w:tcPr>
          <w:p w14:paraId="21DF7512">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14:paraId="0BA1A0C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并处10万元以上37万元以下的罚款。</w:t>
            </w:r>
          </w:p>
        </w:tc>
        <w:tc>
          <w:tcPr>
            <w:tcW w:w="2766" w:type="dxa"/>
            <w:vAlign w:val="center"/>
          </w:tcPr>
          <w:p w14:paraId="2C1B9B3F">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14:paraId="0A0F4000">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并处37万元以上73万元以下的罚款。</w:t>
            </w:r>
          </w:p>
        </w:tc>
        <w:tc>
          <w:tcPr>
            <w:tcW w:w="2835" w:type="dxa"/>
            <w:vAlign w:val="center"/>
          </w:tcPr>
          <w:p w14:paraId="08F67E81">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14:paraId="5384A269">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并处73万元以上100万元以下的罚款。</w:t>
            </w:r>
          </w:p>
        </w:tc>
      </w:tr>
      <w:tr w14:paraId="2961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534" w:type="dxa"/>
            <w:vMerge w:val="continue"/>
            <w:vAlign w:val="center"/>
          </w:tcPr>
          <w:p w14:paraId="683D284A">
            <w:pPr>
              <w:widowControl/>
              <w:adjustRightInd w:val="0"/>
              <w:snapToGrid w:val="0"/>
              <w:jc w:val="both"/>
              <w:rPr>
                <w:rFonts w:ascii="仿宋" w:hAnsi="仿宋" w:eastAsia="仿宋" w:cs="Arial"/>
                <w:color w:val="auto"/>
                <w:szCs w:val="21"/>
              </w:rPr>
            </w:pPr>
          </w:p>
        </w:tc>
        <w:tc>
          <w:tcPr>
            <w:tcW w:w="567" w:type="dxa"/>
            <w:vMerge w:val="continue"/>
            <w:vAlign w:val="center"/>
          </w:tcPr>
          <w:p w14:paraId="5B11A1EF">
            <w:pPr>
              <w:widowControl/>
              <w:adjustRightInd w:val="0"/>
              <w:snapToGrid w:val="0"/>
              <w:jc w:val="both"/>
              <w:rPr>
                <w:rFonts w:ascii="仿宋" w:hAnsi="仿宋" w:eastAsia="仿宋" w:cs="Arial"/>
                <w:color w:val="auto"/>
                <w:szCs w:val="21"/>
              </w:rPr>
            </w:pPr>
          </w:p>
        </w:tc>
        <w:tc>
          <w:tcPr>
            <w:tcW w:w="1185" w:type="dxa"/>
            <w:vMerge w:val="restart"/>
            <w:vAlign w:val="center"/>
          </w:tcPr>
          <w:p w14:paraId="7CA20C8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对药品经营企业</w:t>
            </w:r>
          </w:p>
        </w:tc>
        <w:tc>
          <w:tcPr>
            <w:tcW w:w="3206" w:type="dxa"/>
            <w:vAlign w:val="center"/>
          </w:tcPr>
          <w:p w14:paraId="6F2A88A9">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765" w:type="dxa"/>
            <w:vAlign w:val="center"/>
          </w:tcPr>
          <w:p w14:paraId="3361C15A">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766" w:type="dxa"/>
            <w:vAlign w:val="center"/>
          </w:tcPr>
          <w:p w14:paraId="018F828A">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835" w:type="dxa"/>
            <w:vAlign w:val="center"/>
          </w:tcPr>
          <w:p w14:paraId="4CDB9EF7">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责令限期改正，给予警告。</w:t>
            </w:r>
          </w:p>
        </w:tc>
      </w:tr>
      <w:tr w14:paraId="0DFE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534" w:type="dxa"/>
            <w:vMerge w:val="continue"/>
            <w:vAlign w:val="center"/>
          </w:tcPr>
          <w:p w14:paraId="13B263B3">
            <w:pPr>
              <w:widowControl/>
              <w:adjustRightInd w:val="0"/>
              <w:snapToGrid w:val="0"/>
              <w:jc w:val="both"/>
              <w:rPr>
                <w:rFonts w:ascii="仿宋" w:hAnsi="仿宋" w:eastAsia="仿宋" w:cs="Arial"/>
                <w:color w:val="auto"/>
                <w:szCs w:val="21"/>
              </w:rPr>
            </w:pPr>
          </w:p>
        </w:tc>
        <w:tc>
          <w:tcPr>
            <w:tcW w:w="567" w:type="dxa"/>
            <w:vMerge w:val="continue"/>
            <w:vAlign w:val="center"/>
          </w:tcPr>
          <w:p w14:paraId="5EB512C6">
            <w:pPr>
              <w:widowControl/>
              <w:adjustRightInd w:val="0"/>
              <w:snapToGrid w:val="0"/>
              <w:jc w:val="both"/>
              <w:rPr>
                <w:rFonts w:ascii="仿宋" w:hAnsi="仿宋" w:eastAsia="仿宋" w:cs="Arial"/>
                <w:color w:val="auto"/>
                <w:szCs w:val="21"/>
              </w:rPr>
            </w:pPr>
          </w:p>
        </w:tc>
        <w:tc>
          <w:tcPr>
            <w:tcW w:w="1185" w:type="dxa"/>
            <w:vMerge w:val="continue"/>
            <w:vAlign w:val="center"/>
          </w:tcPr>
          <w:p w14:paraId="6DDB7D8B">
            <w:pPr>
              <w:widowControl/>
              <w:adjustRightInd w:val="0"/>
              <w:snapToGrid w:val="0"/>
              <w:jc w:val="both"/>
              <w:rPr>
                <w:rFonts w:ascii="仿宋" w:hAnsi="仿宋" w:eastAsia="仿宋" w:cs="Arial"/>
                <w:color w:val="auto"/>
                <w:szCs w:val="21"/>
              </w:rPr>
            </w:pPr>
          </w:p>
        </w:tc>
        <w:tc>
          <w:tcPr>
            <w:tcW w:w="3206" w:type="dxa"/>
            <w:vAlign w:val="center"/>
          </w:tcPr>
          <w:p w14:paraId="15801286">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14:paraId="5550EFA3">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并处0.5万元以上5万元以下的罚款。</w:t>
            </w:r>
          </w:p>
        </w:tc>
        <w:tc>
          <w:tcPr>
            <w:tcW w:w="2765" w:type="dxa"/>
            <w:vAlign w:val="center"/>
          </w:tcPr>
          <w:p w14:paraId="18B30523">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14:paraId="10BD8052">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并处5万元以上18.5万元以下的罚款。</w:t>
            </w:r>
          </w:p>
        </w:tc>
        <w:tc>
          <w:tcPr>
            <w:tcW w:w="2766" w:type="dxa"/>
            <w:vAlign w:val="center"/>
          </w:tcPr>
          <w:p w14:paraId="1F183683">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14:paraId="5505BEA9">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并处18.5万元以上36.5万元以下的罚款。</w:t>
            </w:r>
          </w:p>
        </w:tc>
        <w:tc>
          <w:tcPr>
            <w:tcW w:w="2835" w:type="dxa"/>
            <w:vAlign w:val="center"/>
          </w:tcPr>
          <w:p w14:paraId="3CA48A44">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14:paraId="5B1903FE">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并处36.5万元以上50万元以下的罚款。</w:t>
            </w:r>
          </w:p>
        </w:tc>
      </w:tr>
      <w:tr w14:paraId="0308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34" w:type="dxa"/>
            <w:vMerge w:val="continue"/>
            <w:vAlign w:val="center"/>
          </w:tcPr>
          <w:p w14:paraId="5E0DAB18">
            <w:pPr>
              <w:widowControl/>
              <w:adjustRightInd w:val="0"/>
              <w:snapToGrid w:val="0"/>
              <w:jc w:val="both"/>
              <w:rPr>
                <w:rFonts w:ascii="仿宋" w:hAnsi="仿宋" w:eastAsia="仿宋" w:cs="Arial"/>
                <w:color w:val="auto"/>
                <w:szCs w:val="21"/>
              </w:rPr>
            </w:pPr>
          </w:p>
        </w:tc>
        <w:tc>
          <w:tcPr>
            <w:tcW w:w="567" w:type="dxa"/>
            <w:vMerge w:val="restart"/>
            <w:vAlign w:val="center"/>
          </w:tcPr>
          <w:p w14:paraId="6336E54B">
            <w:pPr>
              <w:widowControl/>
              <w:adjustRightInd w:val="0"/>
              <w:snapToGrid w:val="0"/>
              <w:jc w:val="both"/>
              <w:rPr>
                <w:rFonts w:ascii="仿宋" w:hAnsi="仿宋" w:eastAsia="仿宋" w:cs="Arial"/>
                <w:color w:val="auto"/>
                <w:szCs w:val="21"/>
              </w:rPr>
            </w:pPr>
          </w:p>
        </w:tc>
        <w:tc>
          <w:tcPr>
            <w:tcW w:w="1185" w:type="dxa"/>
            <w:vMerge w:val="restart"/>
            <w:vAlign w:val="center"/>
          </w:tcPr>
          <w:p w14:paraId="74BBDEA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eastAsia="zh-CN"/>
              </w:rPr>
              <w:t>对</w:t>
            </w:r>
            <w:r>
              <w:rPr>
                <w:rFonts w:hint="eastAsia" w:ascii="仿宋" w:hAnsi="仿宋" w:eastAsia="仿宋" w:cs="Arial"/>
                <w:b/>
                <w:bCs/>
                <w:color w:val="auto"/>
                <w:szCs w:val="21"/>
              </w:rPr>
              <w:t>医疗机构的处罚</w:t>
            </w:r>
          </w:p>
        </w:tc>
        <w:tc>
          <w:tcPr>
            <w:tcW w:w="3206" w:type="dxa"/>
            <w:vAlign w:val="center"/>
          </w:tcPr>
          <w:p w14:paraId="514F176E">
            <w:pPr>
              <w:widowControl/>
              <w:adjustRightInd w:val="0"/>
              <w:snapToGrid w:val="0"/>
              <w:spacing w:line="240" w:lineRule="exact"/>
              <w:jc w:val="both"/>
              <w:rPr>
                <w:rFonts w:hint="eastAsia" w:ascii="仿宋" w:hAnsi="仿宋" w:eastAsia="仿宋" w:cs="Arial"/>
                <w:b/>
                <w:bCs/>
                <w:color w:val="auto"/>
                <w:szCs w:val="21"/>
              </w:rPr>
            </w:pPr>
            <w:r>
              <w:rPr>
                <w:rFonts w:hint="eastAsia" w:ascii="仿宋" w:hAnsi="仿宋" w:eastAsia="仿宋" w:cs="Arial"/>
                <w:color w:val="auto"/>
                <w:szCs w:val="21"/>
              </w:rPr>
              <w:t>责令限期改正，给予警告。</w:t>
            </w:r>
          </w:p>
        </w:tc>
        <w:tc>
          <w:tcPr>
            <w:tcW w:w="2765" w:type="dxa"/>
            <w:vAlign w:val="center"/>
          </w:tcPr>
          <w:p w14:paraId="5097832C">
            <w:pPr>
              <w:widowControl/>
              <w:adjustRightInd w:val="0"/>
              <w:snapToGrid w:val="0"/>
              <w:spacing w:line="240" w:lineRule="exact"/>
              <w:jc w:val="both"/>
              <w:rPr>
                <w:rFonts w:hint="eastAsia" w:ascii="仿宋" w:hAnsi="仿宋" w:eastAsia="仿宋" w:cs="Arial"/>
                <w:b/>
                <w:bCs/>
                <w:color w:val="auto"/>
                <w:szCs w:val="21"/>
              </w:rPr>
            </w:pPr>
            <w:r>
              <w:rPr>
                <w:rFonts w:hint="eastAsia" w:ascii="仿宋" w:hAnsi="仿宋" w:eastAsia="仿宋" w:cs="Arial"/>
                <w:color w:val="auto"/>
                <w:szCs w:val="21"/>
              </w:rPr>
              <w:t>责令限期改正，给予警告。</w:t>
            </w:r>
          </w:p>
        </w:tc>
        <w:tc>
          <w:tcPr>
            <w:tcW w:w="2766" w:type="dxa"/>
            <w:vAlign w:val="center"/>
          </w:tcPr>
          <w:p w14:paraId="6E171C59">
            <w:pPr>
              <w:widowControl/>
              <w:adjustRightInd w:val="0"/>
              <w:snapToGrid w:val="0"/>
              <w:spacing w:line="240" w:lineRule="exact"/>
              <w:jc w:val="both"/>
              <w:rPr>
                <w:rFonts w:hint="eastAsia" w:ascii="仿宋" w:hAnsi="仿宋" w:eastAsia="仿宋" w:cs="Arial"/>
                <w:b/>
                <w:bCs/>
                <w:color w:val="auto"/>
                <w:szCs w:val="21"/>
              </w:rPr>
            </w:pPr>
            <w:r>
              <w:rPr>
                <w:rFonts w:hint="eastAsia" w:ascii="仿宋" w:hAnsi="仿宋" w:eastAsia="仿宋" w:cs="Arial"/>
                <w:color w:val="auto"/>
                <w:szCs w:val="21"/>
              </w:rPr>
              <w:t>责令限期改正，给予警告。</w:t>
            </w:r>
          </w:p>
        </w:tc>
        <w:tc>
          <w:tcPr>
            <w:tcW w:w="2835" w:type="dxa"/>
            <w:vAlign w:val="center"/>
          </w:tcPr>
          <w:p w14:paraId="277938D4">
            <w:pPr>
              <w:widowControl/>
              <w:adjustRightInd w:val="0"/>
              <w:snapToGrid w:val="0"/>
              <w:spacing w:line="240" w:lineRule="exact"/>
              <w:jc w:val="both"/>
              <w:rPr>
                <w:rFonts w:hint="eastAsia" w:ascii="仿宋" w:hAnsi="仿宋" w:eastAsia="仿宋" w:cs="Arial"/>
                <w:b/>
                <w:bCs/>
                <w:color w:val="auto"/>
                <w:szCs w:val="21"/>
              </w:rPr>
            </w:pPr>
            <w:r>
              <w:rPr>
                <w:rFonts w:hint="eastAsia" w:ascii="仿宋" w:hAnsi="仿宋" w:eastAsia="仿宋" w:cs="Arial"/>
                <w:color w:val="auto"/>
                <w:szCs w:val="21"/>
              </w:rPr>
              <w:t>责令限期改正，给予警告。</w:t>
            </w:r>
          </w:p>
        </w:tc>
      </w:tr>
      <w:tr w14:paraId="2D22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534" w:type="dxa"/>
            <w:vMerge w:val="continue"/>
            <w:vAlign w:val="center"/>
          </w:tcPr>
          <w:p w14:paraId="7A696441">
            <w:pPr>
              <w:widowControl/>
              <w:adjustRightInd w:val="0"/>
              <w:snapToGrid w:val="0"/>
              <w:jc w:val="both"/>
              <w:rPr>
                <w:color w:val="auto"/>
              </w:rPr>
            </w:pPr>
          </w:p>
        </w:tc>
        <w:tc>
          <w:tcPr>
            <w:tcW w:w="567" w:type="dxa"/>
            <w:vMerge w:val="continue"/>
            <w:vAlign w:val="center"/>
          </w:tcPr>
          <w:p w14:paraId="0EC3DADA">
            <w:pPr>
              <w:widowControl/>
              <w:adjustRightInd w:val="0"/>
              <w:snapToGrid w:val="0"/>
              <w:jc w:val="both"/>
              <w:rPr>
                <w:color w:val="auto"/>
              </w:rPr>
            </w:pPr>
          </w:p>
        </w:tc>
        <w:tc>
          <w:tcPr>
            <w:tcW w:w="1185" w:type="dxa"/>
            <w:vMerge w:val="continue"/>
            <w:vAlign w:val="center"/>
          </w:tcPr>
          <w:p w14:paraId="5F6034A9">
            <w:pPr>
              <w:widowControl/>
              <w:adjustRightInd w:val="0"/>
              <w:snapToGrid w:val="0"/>
              <w:jc w:val="both"/>
              <w:rPr>
                <w:color w:val="auto"/>
              </w:rPr>
            </w:pPr>
          </w:p>
        </w:tc>
        <w:tc>
          <w:tcPr>
            <w:tcW w:w="3206" w:type="dxa"/>
            <w:vAlign w:val="center"/>
          </w:tcPr>
          <w:p w14:paraId="6D6B1D72">
            <w:pPr>
              <w:widowControl/>
              <w:adjustRightInd w:val="0"/>
              <w:snapToGrid w:val="0"/>
              <w:jc w:val="both"/>
              <w:rPr>
                <w:rFonts w:hint="eastAsia" w:ascii="仿宋" w:hAnsi="仿宋" w:eastAsia="仿宋" w:cs="Arial"/>
                <w:b/>
                <w:bCs/>
                <w:color w:val="auto"/>
                <w:szCs w:val="21"/>
              </w:rPr>
            </w:pPr>
            <w:r>
              <w:rPr>
                <w:rFonts w:hint="eastAsia" w:ascii="仿宋" w:hAnsi="仿宋" w:eastAsia="仿宋" w:cs="Arial"/>
                <w:color w:val="auto"/>
                <w:szCs w:val="21"/>
              </w:rPr>
              <w:t>逾期不改正的，处0.5万元以上5万元以下的罚款。</w:t>
            </w:r>
          </w:p>
        </w:tc>
        <w:tc>
          <w:tcPr>
            <w:tcW w:w="2765" w:type="dxa"/>
            <w:vAlign w:val="center"/>
          </w:tcPr>
          <w:p w14:paraId="114BDCC0">
            <w:pPr>
              <w:widowControl/>
              <w:adjustRightInd w:val="0"/>
              <w:snapToGrid w:val="0"/>
              <w:jc w:val="both"/>
              <w:rPr>
                <w:rFonts w:hint="eastAsia" w:ascii="仿宋" w:hAnsi="仿宋" w:eastAsia="仿宋" w:cs="Arial"/>
                <w:b/>
                <w:bCs/>
                <w:color w:val="auto"/>
                <w:szCs w:val="21"/>
              </w:rPr>
            </w:pPr>
            <w:r>
              <w:rPr>
                <w:rFonts w:hint="eastAsia" w:ascii="仿宋" w:hAnsi="仿宋" w:eastAsia="仿宋" w:cs="Arial"/>
                <w:color w:val="auto"/>
                <w:szCs w:val="21"/>
              </w:rPr>
              <w:t>逾期不改正的，处5万元以上18.5万元以下的罚款。</w:t>
            </w:r>
          </w:p>
        </w:tc>
        <w:tc>
          <w:tcPr>
            <w:tcW w:w="2766" w:type="dxa"/>
            <w:vAlign w:val="center"/>
          </w:tcPr>
          <w:p w14:paraId="743C5A3C">
            <w:pPr>
              <w:widowControl/>
              <w:adjustRightInd w:val="0"/>
              <w:snapToGrid w:val="0"/>
              <w:jc w:val="both"/>
              <w:rPr>
                <w:rFonts w:hint="eastAsia" w:ascii="仿宋" w:hAnsi="仿宋" w:eastAsia="仿宋" w:cs="Arial"/>
                <w:b/>
                <w:bCs/>
                <w:color w:val="auto"/>
                <w:szCs w:val="21"/>
              </w:rPr>
            </w:pPr>
            <w:r>
              <w:rPr>
                <w:rFonts w:hint="eastAsia" w:ascii="仿宋" w:hAnsi="仿宋" w:eastAsia="仿宋" w:cs="Arial"/>
                <w:color w:val="auto"/>
                <w:szCs w:val="21"/>
              </w:rPr>
              <w:t>逾期不改正的，处18.5万元以上36.5万元以下的罚款。</w:t>
            </w:r>
          </w:p>
        </w:tc>
        <w:tc>
          <w:tcPr>
            <w:tcW w:w="2835" w:type="dxa"/>
            <w:vAlign w:val="center"/>
          </w:tcPr>
          <w:p w14:paraId="1B03AF92">
            <w:pPr>
              <w:widowControl/>
              <w:adjustRightInd w:val="0"/>
              <w:snapToGrid w:val="0"/>
              <w:jc w:val="both"/>
              <w:rPr>
                <w:rFonts w:hint="eastAsia" w:ascii="仿宋" w:hAnsi="仿宋" w:eastAsia="仿宋" w:cs="Arial"/>
                <w:b/>
                <w:bCs/>
                <w:color w:val="auto"/>
                <w:szCs w:val="21"/>
              </w:rPr>
            </w:pPr>
            <w:r>
              <w:rPr>
                <w:rFonts w:hint="eastAsia" w:ascii="仿宋" w:hAnsi="仿宋" w:eastAsia="仿宋" w:cs="Arial"/>
                <w:color w:val="auto"/>
                <w:szCs w:val="21"/>
              </w:rPr>
              <w:t>逾期不改正的，处36.5万元以上50万元以下的罚款。</w:t>
            </w:r>
          </w:p>
        </w:tc>
      </w:tr>
    </w:tbl>
    <w:p w14:paraId="4FD5499E">
      <w:pPr>
        <w:widowControl/>
        <w:tabs>
          <w:tab w:val="left" w:pos="15"/>
          <w:tab w:val="left" w:pos="900"/>
          <w:tab w:val="left" w:pos="1705"/>
          <w:tab w:val="left" w:pos="2537"/>
          <w:tab w:val="left" w:pos="5721"/>
          <w:tab w:val="left" w:pos="7937"/>
          <w:tab w:val="left" w:pos="10101"/>
          <w:tab w:val="left" w:pos="13666"/>
        </w:tabs>
        <w:adjustRightInd w:val="0"/>
        <w:spacing w:line="180" w:lineRule="exact"/>
        <w:jc w:val="both"/>
        <w:rPr>
          <w:rFonts w:ascii="仿宋" w:hAnsi="仿宋" w:eastAsia="仿宋" w:cs="宋体"/>
          <w:color w:val="auto"/>
          <w:szCs w:val="21"/>
        </w:rPr>
      </w:pPr>
    </w:p>
    <w:tbl>
      <w:tblPr>
        <w:tblStyle w:val="6"/>
        <w:tblW w:w="13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33"/>
        <w:gridCol w:w="564"/>
        <w:gridCol w:w="985"/>
        <w:gridCol w:w="1094"/>
        <w:gridCol w:w="2791"/>
        <w:gridCol w:w="2884"/>
        <w:gridCol w:w="5039"/>
      </w:tblGrid>
      <w:tr w14:paraId="1FE5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33" w:type="dxa"/>
            <w:vMerge w:val="restart"/>
            <w:vAlign w:val="center"/>
          </w:tcPr>
          <w:p w14:paraId="6635F5FF">
            <w:pPr>
              <w:widowControl/>
              <w:adjustRightInd w:val="0"/>
              <w:snapToGrid w:val="0"/>
              <w:jc w:val="both"/>
              <w:rPr>
                <w:rFonts w:ascii="仿宋" w:hAnsi="仿宋" w:eastAsia="仿宋" w:cs="宋体"/>
                <w:b/>
                <w:color w:val="auto"/>
                <w:szCs w:val="21"/>
              </w:rPr>
            </w:pPr>
            <w:r>
              <w:rPr>
                <w:rFonts w:hint="eastAsia" w:ascii="仿宋" w:hAnsi="仿宋" w:eastAsia="仿宋" w:cs="宋体"/>
                <w:b/>
                <w:color w:val="auto"/>
                <w:szCs w:val="21"/>
              </w:rPr>
              <w:t>17</w:t>
            </w:r>
          </w:p>
        </w:tc>
        <w:tc>
          <w:tcPr>
            <w:tcW w:w="2643" w:type="dxa"/>
            <w:gridSpan w:val="3"/>
            <w:vAlign w:val="center"/>
          </w:tcPr>
          <w:p w14:paraId="10CE6A9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0714" w:type="dxa"/>
            <w:gridSpan w:val="3"/>
            <w:vAlign w:val="center"/>
          </w:tcPr>
          <w:p w14:paraId="6EEDE36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药品上市许可持有人在省、自治区、直辖市人民政府药品监督管理部门责令其召回后，拒不召回的</w:t>
            </w:r>
          </w:p>
        </w:tc>
      </w:tr>
      <w:tr w14:paraId="7F7D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6" w:hRule="atLeast"/>
          <w:jc w:val="center"/>
        </w:trPr>
        <w:tc>
          <w:tcPr>
            <w:tcW w:w="533" w:type="dxa"/>
            <w:vMerge w:val="continue"/>
            <w:vAlign w:val="center"/>
          </w:tcPr>
          <w:p w14:paraId="46E787B6">
            <w:pPr>
              <w:widowControl/>
              <w:adjustRightInd w:val="0"/>
              <w:snapToGrid w:val="0"/>
              <w:jc w:val="both"/>
              <w:rPr>
                <w:rFonts w:ascii="仿宋" w:hAnsi="仿宋" w:eastAsia="仿宋" w:cs="Arial"/>
                <w:color w:val="auto"/>
                <w:szCs w:val="21"/>
              </w:rPr>
            </w:pPr>
          </w:p>
        </w:tc>
        <w:tc>
          <w:tcPr>
            <w:tcW w:w="2643" w:type="dxa"/>
            <w:gridSpan w:val="3"/>
            <w:vAlign w:val="center"/>
          </w:tcPr>
          <w:p w14:paraId="33C10C2C">
            <w:pPr>
              <w:widowControl/>
              <w:adjustRightInd w:val="0"/>
              <w:snapToGrid w:val="0"/>
              <w:jc w:val="both"/>
              <w:rPr>
                <w:rFonts w:ascii="仿宋" w:hAnsi="仿宋" w:eastAsia="仿宋" w:cs="Arial"/>
                <w:color w:val="auto"/>
                <w:szCs w:val="21"/>
              </w:rPr>
            </w:pPr>
          </w:p>
          <w:p w14:paraId="27970B7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0714" w:type="dxa"/>
            <w:gridSpan w:val="3"/>
            <w:vAlign w:val="center"/>
          </w:tcPr>
          <w:p w14:paraId="68F8523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第一百三十五条：</w:t>
            </w:r>
            <w:r>
              <w:rPr>
                <w:rFonts w:hint="eastAsia" w:ascii="仿宋" w:hAnsi="仿宋" w:eastAsia="仿宋" w:cs="Arial"/>
                <w:color w:val="auto"/>
                <w:szCs w:val="21"/>
              </w:rPr>
              <w:t>药品上市许可持有人在省、自治区、直辖市人民政府药品监督管理部门责令其召回后，拒不召回的，处应召回药品货值金额五倍以上十倍以下的罚款；货值金额不足十万元的，按十万元计算；情节严重的，吊销药品批准证明文件、药品生产许可证、药品经营许可证，对法定代表人、主要负责人、直接负责的主管人员和其他责任人员，处二万元以上二十万元以下的罚款。药品生产企业、药品经营企业、医疗机构拒不配合召回的，处十万元以上五十万元以下的罚款。</w:t>
            </w:r>
          </w:p>
        </w:tc>
      </w:tr>
      <w:tr w14:paraId="3319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33" w:type="dxa"/>
            <w:vMerge w:val="continue"/>
            <w:vAlign w:val="center"/>
          </w:tcPr>
          <w:p w14:paraId="71ACCC13">
            <w:pPr>
              <w:widowControl/>
              <w:adjustRightInd w:val="0"/>
              <w:snapToGrid w:val="0"/>
              <w:jc w:val="both"/>
              <w:rPr>
                <w:rFonts w:ascii="仿宋" w:hAnsi="仿宋" w:eastAsia="仿宋" w:cs="Arial"/>
                <w:color w:val="auto"/>
                <w:szCs w:val="21"/>
              </w:rPr>
            </w:pPr>
          </w:p>
        </w:tc>
        <w:tc>
          <w:tcPr>
            <w:tcW w:w="2643" w:type="dxa"/>
            <w:gridSpan w:val="3"/>
            <w:vAlign w:val="center"/>
          </w:tcPr>
          <w:p w14:paraId="39E537D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791" w:type="dxa"/>
            <w:vAlign w:val="center"/>
          </w:tcPr>
          <w:p w14:paraId="43251AB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884" w:type="dxa"/>
            <w:vAlign w:val="center"/>
          </w:tcPr>
          <w:p w14:paraId="198722B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5039" w:type="dxa"/>
            <w:vAlign w:val="center"/>
          </w:tcPr>
          <w:p w14:paraId="0329C6F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218C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7" w:hRule="atLeast"/>
          <w:jc w:val="center"/>
        </w:trPr>
        <w:tc>
          <w:tcPr>
            <w:tcW w:w="533" w:type="dxa"/>
            <w:vMerge w:val="continue"/>
            <w:vAlign w:val="center"/>
          </w:tcPr>
          <w:p w14:paraId="7B106E88">
            <w:pPr>
              <w:widowControl/>
              <w:adjustRightInd w:val="0"/>
              <w:snapToGrid w:val="0"/>
              <w:jc w:val="both"/>
              <w:rPr>
                <w:rFonts w:ascii="仿宋" w:hAnsi="仿宋" w:eastAsia="仿宋" w:cs="Arial"/>
                <w:color w:val="auto"/>
                <w:szCs w:val="21"/>
              </w:rPr>
            </w:pPr>
          </w:p>
        </w:tc>
        <w:tc>
          <w:tcPr>
            <w:tcW w:w="2643" w:type="dxa"/>
            <w:gridSpan w:val="3"/>
            <w:vAlign w:val="center"/>
          </w:tcPr>
          <w:p w14:paraId="0D51B6D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2791" w:type="dxa"/>
            <w:vAlign w:val="center"/>
          </w:tcPr>
          <w:p w14:paraId="6C4DFA6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（一）涉及三级召回的；</w:t>
            </w:r>
          </w:p>
          <w:p w14:paraId="5E2173BA">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884" w:type="dxa"/>
            <w:vAlign w:val="center"/>
          </w:tcPr>
          <w:p w14:paraId="46D07D5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5039" w:type="dxa"/>
            <w:vAlign w:val="center"/>
          </w:tcPr>
          <w:p w14:paraId="039CEE1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（一）涉及一级召回的；涉案药品风险性较高的；</w:t>
            </w:r>
          </w:p>
          <w:p w14:paraId="0521C582">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（二）其他符合裁量规则从重行政处罚情形的。</w:t>
            </w:r>
          </w:p>
        </w:tc>
      </w:tr>
      <w:tr w14:paraId="6AAD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6" w:hRule="atLeast"/>
          <w:jc w:val="center"/>
        </w:trPr>
        <w:tc>
          <w:tcPr>
            <w:tcW w:w="533" w:type="dxa"/>
            <w:vMerge w:val="continue"/>
            <w:vAlign w:val="center"/>
          </w:tcPr>
          <w:p w14:paraId="7A1C8D0D">
            <w:pPr>
              <w:widowControl/>
              <w:adjustRightInd w:val="0"/>
              <w:snapToGrid w:val="0"/>
              <w:jc w:val="both"/>
              <w:rPr>
                <w:rFonts w:ascii="仿宋" w:hAnsi="仿宋" w:eastAsia="仿宋" w:cs="Arial"/>
                <w:color w:val="auto"/>
                <w:szCs w:val="21"/>
              </w:rPr>
            </w:pPr>
          </w:p>
        </w:tc>
        <w:tc>
          <w:tcPr>
            <w:tcW w:w="564" w:type="dxa"/>
            <w:vMerge w:val="restart"/>
            <w:vAlign w:val="center"/>
          </w:tcPr>
          <w:p w14:paraId="05803FEF">
            <w:pPr>
              <w:widowControl/>
              <w:adjustRightInd w:val="0"/>
              <w:snapToGrid w:val="0"/>
              <w:jc w:val="both"/>
              <w:rPr>
                <w:rFonts w:ascii="仿宋" w:hAnsi="仿宋" w:eastAsia="仿宋" w:cs="Arial"/>
                <w:color w:val="auto"/>
                <w:szCs w:val="21"/>
              </w:rPr>
            </w:pPr>
          </w:p>
          <w:p w14:paraId="55100E1B">
            <w:pPr>
              <w:widowControl/>
              <w:adjustRightInd w:val="0"/>
              <w:snapToGrid w:val="0"/>
              <w:jc w:val="both"/>
              <w:rPr>
                <w:rFonts w:ascii="仿宋" w:hAnsi="仿宋" w:eastAsia="仿宋" w:cs="Arial"/>
                <w:color w:val="auto"/>
                <w:szCs w:val="21"/>
              </w:rPr>
            </w:pPr>
          </w:p>
          <w:p w14:paraId="516BBBB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w:t>
            </w:r>
          </w:p>
          <w:p w14:paraId="7B6C523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量</w:t>
            </w:r>
          </w:p>
          <w:p w14:paraId="7326C09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w:t>
            </w:r>
          </w:p>
          <w:p w14:paraId="60839A2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准</w:t>
            </w:r>
          </w:p>
        </w:tc>
        <w:tc>
          <w:tcPr>
            <w:tcW w:w="985" w:type="dxa"/>
            <w:vMerge w:val="restart"/>
            <w:vAlign w:val="center"/>
          </w:tcPr>
          <w:p w14:paraId="3079226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药品上市许可持有人拒不召回违法行为的处罚</w:t>
            </w:r>
          </w:p>
        </w:tc>
        <w:tc>
          <w:tcPr>
            <w:tcW w:w="1094" w:type="dxa"/>
            <w:vAlign w:val="center"/>
          </w:tcPr>
          <w:p w14:paraId="6CF600E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一般情形的处罚</w:t>
            </w:r>
          </w:p>
        </w:tc>
        <w:tc>
          <w:tcPr>
            <w:tcW w:w="2791" w:type="dxa"/>
            <w:vAlign w:val="center"/>
          </w:tcPr>
          <w:p w14:paraId="1516F39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处应召回药品货值金额5倍以上6.5倍以下的罚款；</w:t>
            </w:r>
          </w:p>
          <w:p w14:paraId="5B38C72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tc>
        <w:tc>
          <w:tcPr>
            <w:tcW w:w="2884" w:type="dxa"/>
            <w:vAlign w:val="center"/>
          </w:tcPr>
          <w:p w14:paraId="66D1C9B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处应召回药品货值金额6.5倍以上8.5倍以下的罚款；</w:t>
            </w: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tc>
        <w:tc>
          <w:tcPr>
            <w:tcW w:w="5039" w:type="dxa"/>
            <w:vAlign w:val="center"/>
          </w:tcPr>
          <w:p w14:paraId="11B6F3A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处应召回药品货值金额8.5倍以上10倍以下的罚款；</w:t>
            </w:r>
          </w:p>
          <w:p w14:paraId="1EB3666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tc>
      </w:tr>
      <w:tr w14:paraId="1D27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6" w:hRule="atLeast"/>
          <w:jc w:val="center"/>
        </w:trPr>
        <w:tc>
          <w:tcPr>
            <w:tcW w:w="533" w:type="dxa"/>
            <w:vMerge w:val="continue"/>
            <w:vAlign w:val="center"/>
          </w:tcPr>
          <w:p w14:paraId="48D5F313">
            <w:pPr>
              <w:widowControl/>
              <w:adjustRightInd w:val="0"/>
              <w:snapToGrid w:val="0"/>
              <w:jc w:val="both"/>
              <w:rPr>
                <w:rFonts w:ascii="仿宋" w:hAnsi="仿宋" w:eastAsia="仿宋" w:cs="Arial"/>
                <w:color w:val="auto"/>
                <w:szCs w:val="21"/>
              </w:rPr>
            </w:pPr>
          </w:p>
        </w:tc>
        <w:tc>
          <w:tcPr>
            <w:tcW w:w="564" w:type="dxa"/>
            <w:vMerge w:val="continue"/>
            <w:vAlign w:val="center"/>
          </w:tcPr>
          <w:p w14:paraId="1D2BDF0B">
            <w:pPr>
              <w:widowControl/>
              <w:adjustRightInd w:val="0"/>
              <w:snapToGrid w:val="0"/>
              <w:jc w:val="both"/>
              <w:rPr>
                <w:rFonts w:ascii="仿宋" w:hAnsi="仿宋" w:eastAsia="仿宋" w:cs="Arial"/>
                <w:color w:val="auto"/>
                <w:szCs w:val="21"/>
              </w:rPr>
            </w:pPr>
          </w:p>
        </w:tc>
        <w:tc>
          <w:tcPr>
            <w:tcW w:w="985" w:type="dxa"/>
            <w:vMerge w:val="continue"/>
            <w:vAlign w:val="center"/>
          </w:tcPr>
          <w:p w14:paraId="0160D38F">
            <w:pPr>
              <w:widowControl/>
              <w:adjustRightInd w:val="0"/>
              <w:snapToGrid w:val="0"/>
              <w:jc w:val="both"/>
              <w:rPr>
                <w:rFonts w:ascii="仿宋" w:hAnsi="仿宋" w:eastAsia="仿宋" w:cs="Arial"/>
                <w:color w:val="auto"/>
                <w:szCs w:val="21"/>
              </w:rPr>
            </w:pPr>
          </w:p>
        </w:tc>
        <w:tc>
          <w:tcPr>
            <w:tcW w:w="1094" w:type="dxa"/>
            <w:vAlign w:val="center"/>
          </w:tcPr>
          <w:p w14:paraId="582B616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情节严重的处</w:t>
            </w:r>
          </w:p>
        </w:tc>
        <w:tc>
          <w:tcPr>
            <w:tcW w:w="2791" w:type="dxa"/>
            <w:vAlign w:val="center"/>
          </w:tcPr>
          <w:p w14:paraId="6801BBDC">
            <w:pPr>
              <w:widowControl/>
              <w:numPr>
                <w:ilvl w:val="0"/>
                <w:numId w:val="2"/>
              </w:numPr>
              <w:adjustRightInd w:val="0"/>
              <w:snapToGrid w:val="0"/>
              <w:jc w:val="both"/>
              <w:rPr>
                <w:rFonts w:hint="eastAsia" w:ascii="仿宋" w:hAnsi="仿宋" w:eastAsia="仿宋" w:cs="Arial"/>
                <w:color w:val="auto"/>
                <w:szCs w:val="21"/>
                <w:lang w:eastAsia="zh-CN"/>
              </w:rPr>
            </w:pPr>
            <w:r>
              <w:rPr>
                <w:rFonts w:hint="eastAsia" w:ascii="仿宋" w:hAnsi="仿宋" w:eastAsia="仿宋" w:cs="Arial"/>
                <w:color w:val="auto"/>
                <w:szCs w:val="21"/>
              </w:rPr>
              <w:t>吊销药品批准证明文件、药品生产许可证、药品经营许可证</w:t>
            </w:r>
            <w:r>
              <w:rPr>
                <w:rFonts w:hint="eastAsia" w:ascii="仿宋" w:hAnsi="仿宋" w:eastAsia="仿宋" w:cs="Arial"/>
                <w:color w:val="auto"/>
                <w:szCs w:val="21"/>
                <w:lang w:eastAsia="zh-CN"/>
              </w:rPr>
              <w:t>；</w:t>
            </w:r>
          </w:p>
          <w:p w14:paraId="21172D40">
            <w:pPr>
              <w:widowControl/>
              <w:numPr>
                <w:ilvl w:val="0"/>
                <w:numId w:val="2"/>
              </w:numPr>
              <w:adjustRightInd w:val="0"/>
              <w:snapToGrid w:val="0"/>
              <w:jc w:val="both"/>
              <w:rPr>
                <w:rFonts w:ascii="仿宋" w:hAnsi="仿宋" w:eastAsia="仿宋" w:cs="Arial"/>
                <w:color w:val="auto"/>
                <w:szCs w:val="21"/>
              </w:rPr>
            </w:pPr>
            <w:r>
              <w:rPr>
                <w:rFonts w:hint="eastAsia" w:ascii="仿宋" w:hAnsi="仿宋" w:eastAsia="仿宋" w:cs="Arial"/>
                <w:color w:val="auto"/>
                <w:szCs w:val="21"/>
              </w:rPr>
              <w:t>对法定代表人、主要负责人、直接负责的主管人员和其他责任人员，处2万元以上7.4万元以下的罚款。</w:t>
            </w:r>
          </w:p>
        </w:tc>
        <w:tc>
          <w:tcPr>
            <w:tcW w:w="2884" w:type="dxa"/>
            <w:vAlign w:val="center"/>
          </w:tcPr>
          <w:p w14:paraId="3AD58A73">
            <w:pPr>
              <w:widowControl/>
              <w:numPr>
                <w:ilvl w:val="-1"/>
                <w:numId w:val="0"/>
              </w:numPr>
              <w:adjustRightInd w:val="0"/>
              <w:snapToGrid w:val="0"/>
              <w:jc w:val="both"/>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1.</w:t>
            </w:r>
            <w:r>
              <w:rPr>
                <w:rFonts w:hint="eastAsia" w:ascii="仿宋" w:hAnsi="仿宋" w:eastAsia="仿宋" w:cs="Arial"/>
                <w:color w:val="auto"/>
                <w:szCs w:val="21"/>
              </w:rPr>
              <w:t>吊销药品批准证明文件、药品生产许可证、药品经营许可证</w:t>
            </w:r>
            <w:r>
              <w:rPr>
                <w:rFonts w:hint="eastAsia" w:ascii="仿宋" w:hAnsi="仿宋" w:eastAsia="仿宋" w:cs="Arial"/>
                <w:color w:val="auto"/>
                <w:szCs w:val="21"/>
                <w:lang w:eastAsia="zh-CN"/>
              </w:rPr>
              <w:t>；</w:t>
            </w:r>
          </w:p>
          <w:p w14:paraId="11C7B5D0">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val="en-US" w:eastAsia="zh-CN"/>
              </w:rPr>
              <w:t>2.</w:t>
            </w:r>
            <w:r>
              <w:rPr>
                <w:rFonts w:hint="eastAsia" w:ascii="仿宋" w:hAnsi="仿宋" w:eastAsia="仿宋" w:cs="Arial"/>
                <w:color w:val="auto"/>
                <w:szCs w:val="21"/>
              </w:rPr>
              <w:t>对法定代表人、主要负责人、直接负责的主管人员和其他责任人员，处7.4万元以上14.6万元以下的罚款。</w:t>
            </w:r>
          </w:p>
        </w:tc>
        <w:tc>
          <w:tcPr>
            <w:tcW w:w="5039" w:type="dxa"/>
            <w:vAlign w:val="center"/>
          </w:tcPr>
          <w:p w14:paraId="45D2E36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吊销药品批准证明文件、药品生产许可证、药品经营许可证；</w:t>
            </w:r>
          </w:p>
          <w:p w14:paraId="22D287E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对法定代表人、主要负责人、直接负责的主管人员和其他责任人员，处14.6万元以上20万元以下的罚款。</w:t>
            </w:r>
          </w:p>
        </w:tc>
      </w:tr>
      <w:tr w14:paraId="3AA3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1" w:hRule="atLeast"/>
          <w:jc w:val="center"/>
        </w:trPr>
        <w:tc>
          <w:tcPr>
            <w:tcW w:w="533" w:type="dxa"/>
            <w:vMerge w:val="continue"/>
            <w:vAlign w:val="center"/>
          </w:tcPr>
          <w:p w14:paraId="356DDA15">
            <w:pPr>
              <w:widowControl/>
              <w:adjustRightInd w:val="0"/>
              <w:snapToGrid w:val="0"/>
              <w:jc w:val="both"/>
              <w:rPr>
                <w:rFonts w:ascii="仿宋" w:hAnsi="仿宋" w:eastAsia="仿宋" w:cs="Arial"/>
                <w:color w:val="auto"/>
                <w:szCs w:val="21"/>
              </w:rPr>
            </w:pPr>
          </w:p>
        </w:tc>
        <w:tc>
          <w:tcPr>
            <w:tcW w:w="564" w:type="dxa"/>
            <w:vMerge w:val="continue"/>
            <w:vAlign w:val="center"/>
          </w:tcPr>
          <w:p w14:paraId="1D643251">
            <w:pPr>
              <w:widowControl/>
              <w:adjustRightInd w:val="0"/>
              <w:snapToGrid w:val="0"/>
              <w:jc w:val="both"/>
              <w:rPr>
                <w:rFonts w:ascii="仿宋" w:hAnsi="仿宋" w:eastAsia="仿宋" w:cs="Arial"/>
                <w:color w:val="auto"/>
                <w:szCs w:val="21"/>
              </w:rPr>
            </w:pPr>
          </w:p>
        </w:tc>
        <w:tc>
          <w:tcPr>
            <w:tcW w:w="2079" w:type="dxa"/>
            <w:gridSpan w:val="2"/>
            <w:vAlign w:val="center"/>
          </w:tcPr>
          <w:p w14:paraId="70032F4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药品生产企业、药品经营企业、医疗机构拒不配合召回的处罚</w:t>
            </w:r>
          </w:p>
        </w:tc>
        <w:tc>
          <w:tcPr>
            <w:tcW w:w="2791" w:type="dxa"/>
            <w:vAlign w:val="center"/>
          </w:tcPr>
          <w:p w14:paraId="3C7F260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处10万元以上22万元以下的罚款。</w:t>
            </w:r>
          </w:p>
        </w:tc>
        <w:tc>
          <w:tcPr>
            <w:tcW w:w="2884" w:type="dxa"/>
            <w:vAlign w:val="center"/>
          </w:tcPr>
          <w:p w14:paraId="148FE40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处22万元以上38万元以下的罚款。</w:t>
            </w:r>
          </w:p>
        </w:tc>
        <w:tc>
          <w:tcPr>
            <w:tcW w:w="5039" w:type="dxa"/>
            <w:vAlign w:val="center"/>
          </w:tcPr>
          <w:p w14:paraId="16C6A695">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处38万元以上50万元以下的罚款。</w:t>
            </w:r>
          </w:p>
        </w:tc>
      </w:tr>
    </w:tbl>
    <w:p w14:paraId="5C913FAA">
      <w:pPr>
        <w:widowControl/>
        <w:tabs>
          <w:tab w:val="left" w:pos="805"/>
          <w:tab w:val="left" w:pos="1232"/>
          <w:tab w:val="left" w:pos="2901"/>
          <w:tab w:val="left" w:pos="6022"/>
          <w:tab w:val="left" w:pos="8922"/>
        </w:tabs>
        <w:adjustRightInd w:val="0"/>
        <w:snapToGrid w:val="0"/>
        <w:jc w:val="both"/>
        <w:rPr>
          <w:rFonts w:ascii="仿宋" w:hAnsi="仿宋" w:eastAsia="仿宋" w:cs="Arial"/>
          <w:color w:val="auto"/>
          <w:szCs w:val="21"/>
        </w:rPr>
      </w:pPr>
    </w:p>
    <w:tbl>
      <w:tblPr>
        <w:tblStyle w:val="6"/>
        <w:tblW w:w="13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3683"/>
        <w:gridCol w:w="2774"/>
        <w:gridCol w:w="2662"/>
        <w:gridCol w:w="3030"/>
      </w:tblGrid>
      <w:tr w14:paraId="2126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4" w:type="dxa"/>
            <w:vMerge w:val="restart"/>
            <w:vAlign w:val="center"/>
          </w:tcPr>
          <w:p w14:paraId="3A6613EB">
            <w:pPr>
              <w:widowControl/>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18</w:t>
            </w:r>
          </w:p>
        </w:tc>
        <w:tc>
          <w:tcPr>
            <w:tcW w:w="1275" w:type="dxa"/>
            <w:vAlign w:val="center"/>
          </w:tcPr>
          <w:p w14:paraId="20E3B2F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149" w:type="dxa"/>
            <w:gridSpan w:val="4"/>
            <w:vAlign w:val="center"/>
          </w:tcPr>
          <w:p w14:paraId="70F48CD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药品上市许可持有人、药品生产企业、药品经营企业或者医疗机构违反本法规定聘用人员的</w:t>
            </w:r>
          </w:p>
        </w:tc>
      </w:tr>
      <w:tr w14:paraId="34BC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534" w:type="dxa"/>
            <w:vMerge w:val="continue"/>
            <w:vAlign w:val="center"/>
          </w:tcPr>
          <w:p w14:paraId="3FAA59D6">
            <w:pPr>
              <w:widowControl/>
              <w:adjustRightInd w:val="0"/>
              <w:snapToGrid w:val="0"/>
              <w:jc w:val="both"/>
              <w:rPr>
                <w:rFonts w:ascii="仿宋" w:hAnsi="仿宋" w:eastAsia="仿宋" w:cs="Arial"/>
                <w:color w:val="auto"/>
                <w:szCs w:val="21"/>
              </w:rPr>
            </w:pPr>
          </w:p>
        </w:tc>
        <w:tc>
          <w:tcPr>
            <w:tcW w:w="1275" w:type="dxa"/>
            <w:vAlign w:val="center"/>
          </w:tcPr>
          <w:p w14:paraId="28723FA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149" w:type="dxa"/>
            <w:gridSpan w:val="4"/>
            <w:vAlign w:val="center"/>
          </w:tcPr>
          <w:p w14:paraId="0653A7A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lang w:eastAsia="zh-CN"/>
              </w:rPr>
              <w:t>《中华人民共和国药品管理法》</w:t>
            </w:r>
            <w:r>
              <w:rPr>
                <w:rFonts w:hint="eastAsia" w:ascii="仿宋" w:hAnsi="仿宋" w:eastAsia="仿宋" w:cs="Arial"/>
                <w:b/>
                <w:bCs/>
                <w:color w:val="auto"/>
                <w:szCs w:val="21"/>
              </w:rPr>
              <w:t>第一百四十条：</w:t>
            </w:r>
            <w:r>
              <w:rPr>
                <w:rFonts w:hint="eastAsia" w:ascii="仿宋" w:hAnsi="仿宋" w:eastAsia="仿宋" w:cs="Arial"/>
                <w:color w:val="auto"/>
                <w:szCs w:val="21"/>
              </w:rPr>
              <w:t>药品上市许可持有人、药品生产企业、药品经营企业或者医疗机构违反本法规定聘用人员的，由药品监督管理部门或者卫生健康主管部门责令解聘，处五万元以上二十万元以下的罚款。</w:t>
            </w:r>
          </w:p>
        </w:tc>
      </w:tr>
      <w:tr w14:paraId="5B81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4" w:type="dxa"/>
            <w:vMerge w:val="continue"/>
            <w:vAlign w:val="center"/>
          </w:tcPr>
          <w:p w14:paraId="5953DC65">
            <w:pPr>
              <w:widowControl/>
              <w:adjustRightInd w:val="0"/>
              <w:snapToGrid w:val="0"/>
              <w:jc w:val="both"/>
              <w:rPr>
                <w:rFonts w:ascii="仿宋" w:hAnsi="仿宋" w:eastAsia="仿宋" w:cs="Arial"/>
                <w:color w:val="auto"/>
                <w:szCs w:val="21"/>
              </w:rPr>
            </w:pPr>
          </w:p>
        </w:tc>
        <w:tc>
          <w:tcPr>
            <w:tcW w:w="1275" w:type="dxa"/>
            <w:vAlign w:val="center"/>
          </w:tcPr>
          <w:p w14:paraId="742871B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3683" w:type="dxa"/>
            <w:vAlign w:val="center"/>
          </w:tcPr>
          <w:p w14:paraId="2C4D4F7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774" w:type="dxa"/>
            <w:vAlign w:val="center"/>
          </w:tcPr>
          <w:p w14:paraId="0B3200E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662" w:type="dxa"/>
            <w:vAlign w:val="center"/>
          </w:tcPr>
          <w:p w14:paraId="7E3F287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030" w:type="dxa"/>
            <w:vAlign w:val="center"/>
          </w:tcPr>
          <w:p w14:paraId="5FA0D8A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7D20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534" w:type="dxa"/>
            <w:vMerge w:val="continue"/>
            <w:vAlign w:val="center"/>
          </w:tcPr>
          <w:p w14:paraId="29DF28DD">
            <w:pPr>
              <w:widowControl/>
              <w:adjustRightInd w:val="0"/>
              <w:snapToGrid w:val="0"/>
              <w:jc w:val="both"/>
              <w:rPr>
                <w:rFonts w:ascii="仿宋" w:hAnsi="仿宋" w:eastAsia="仿宋" w:cs="Arial"/>
                <w:color w:val="auto"/>
                <w:szCs w:val="21"/>
              </w:rPr>
            </w:pPr>
          </w:p>
        </w:tc>
        <w:tc>
          <w:tcPr>
            <w:tcW w:w="1275" w:type="dxa"/>
            <w:vAlign w:val="center"/>
          </w:tcPr>
          <w:p w14:paraId="29548A6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3683" w:type="dxa"/>
            <w:vAlign w:val="center"/>
          </w:tcPr>
          <w:p w14:paraId="2932674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774" w:type="dxa"/>
            <w:vAlign w:val="center"/>
          </w:tcPr>
          <w:p w14:paraId="324016F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（一）两年内仅违反规定聘用人员1人的；</w:t>
            </w:r>
          </w:p>
          <w:p w14:paraId="1626427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（二）其他符合裁量规则从轻处罚情形的。</w:t>
            </w:r>
          </w:p>
        </w:tc>
        <w:tc>
          <w:tcPr>
            <w:tcW w:w="2662" w:type="dxa"/>
            <w:vAlign w:val="center"/>
          </w:tcPr>
          <w:p w14:paraId="0CC94626">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030" w:type="dxa"/>
            <w:vAlign w:val="center"/>
          </w:tcPr>
          <w:p w14:paraId="445E254A">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（一）两年内累计违反规定聘用人员3人以上</w:t>
            </w:r>
            <w:r>
              <w:rPr>
                <w:rFonts w:hint="eastAsia" w:ascii="仿宋" w:hAnsi="仿宋" w:eastAsia="仿宋" w:cs="Arial"/>
                <w:color w:val="auto"/>
                <w:szCs w:val="21"/>
                <w:lang w:eastAsia="zh-CN"/>
              </w:rPr>
              <w:t>（</w:t>
            </w:r>
            <w:r>
              <w:rPr>
                <w:rFonts w:hint="eastAsia" w:ascii="仿宋" w:hAnsi="仿宋" w:eastAsia="仿宋" w:cs="Arial"/>
                <w:color w:val="auto"/>
                <w:szCs w:val="21"/>
                <w:lang w:val="en-US" w:eastAsia="zh-CN"/>
              </w:rPr>
              <w:t>含3人）</w:t>
            </w:r>
            <w:r>
              <w:rPr>
                <w:rFonts w:hint="eastAsia" w:ascii="仿宋" w:hAnsi="仿宋" w:eastAsia="仿宋" w:cs="Arial"/>
                <w:color w:val="auto"/>
                <w:szCs w:val="21"/>
              </w:rPr>
              <w:t>的；</w:t>
            </w:r>
          </w:p>
          <w:p w14:paraId="1AC9412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（二）其他符合裁量规则从重行政处罚情形的。</w:t>
            </w:r>
          </w:p>
        </w:tc>
      </w:tr>
      <w:tr w14:paraId="5D64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8" w:hRule="atLeast"/>
          <w:jc w:val="center"/>
        </w:trPr>
        <w:tc>
          <w:tcPr>
            <w:tcW w:w="534" w:type="dxa"/>
            <w:vMerge w:val="continue"/>
            <w:vAlign w:val="center"/>
          </w:tcPr>
          <w:p w14:paraId="1D43C72A">
            <w:pPr>
              <w:widowControl/>
              <w:adjustRightInd w:val="0"/>
              <w:snapToGrid w:val="0"/>
              <w:jc w:val="both"/>
              <w:rPr>
                <w:rFonts w:ascii="仿宋" w:hAnsi="仿宋" w:eastAsia="仿宋" w:cs="Arial"/>
                <w:color w:val="auto"/>
                <w:szCs w:val="21"/>
              </w:rPr>
            </w:pPr>
          </w:p>
        </w:tc>
        <w:tc>
          <w:tcPr>
            <w:tcW w:w="1275" w:type="dxa"/>
            <w:vAlign w:val="center"/>
          </w:tcPr>
          <w:p w14:paraId="335640B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3683" w:type="dxa"/>
            <w:vAlign w:val="center"/>
          </w:tcPr>
          <w:p w14:paraId="6896084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责令解聘；</w:t>
            </w:r>
            <w:r>
              <w:rPr>
                <w:rFonts w:hint="eastAsia" w:ascii="仿宋" w:hAnsi="仿宋" w:eastAsia="仿宋" w:cs="Arial"/>
                <w:b/>
                <w:bCs/>
                <w:color w:val="auto"/>
                <w:szCs w:val="21"/>
              </w:rPr>
              <w:t>2.</w:t>
            </w:r>
            <w:r>
              <w:rPr>
                <w:rFonts w:hint="eastAsia" w:ascii="仿宋" w:hAnsi="仿宋" w:eastAsia="仿宋" w:cs="Arial"/>
                <w:color w:val="auto"/>
                <w:szCs w:val="21"/>
              </w:rPr>
              <w:t>处0.5万元以上5万元以下的罚款。</w:t>
            </w:r>
          </w:p>
        </w:tc>
        <w:tc>
          <w:tcPr>
            <w:tcW w:w="2774" w:type="dxa"/>
            <w:vAlign w:val="center"/>
          </w:tcPr>
          <w:p w14:paraId="59C0CC69">
            <w:pPr>
              <w:widowControl/>
              <w:adjustRightInd w:val="0"/>
              <w:snapToGrid w:val="0"/>
              <w:jc w:val="both"/>
              <w:rPr>
                <w:rFonts w:hint="eastAsia"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责令解聘；</w:t>
            </w:r>
          </w:p>
          <w:p w14:paraId="1BE64B8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处5万元以上9.5万元以下的罚款。</w:t>
            </w:r>
          </w:p>
        </w:tc>
        <w:tc>
          <w:tcPr>
            <w:tcW w:w="2662" w:type="dxa"/>
            <w:vAlign w:val="center"/>
          </w:tcPr>
          <w:p w14:paraId="14163296">
            <w:pPr>
              <w:widowControl/>
              <w:adjustRightInd w:val="0"/>
              <w:snapToGrid w:val="0"/>
              <w:jc w:val="both"/>
              <w:rPr>
                <w:rFonts w:hint="eastAsia"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责令解聘；</w:t>
            </w:r>
          </w:p>
          <w:p w14:paraId="3E58D96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处9.5万元以上15.5万元以下的罚款。</w:t>
            </w:r>
          </w:p>
        </w:tc>
        <w:tc>
          <w:tcPr>
            <w:tcW w:w="3030" w:type="dxa"/>
            <w:vAlign w:val="center"/>
          </w:tcPr>
          <w:p w14:paraId="6543737C">
            <w:pPr>
              <w:widowControl/>
              <w:adjustRightInd w:val="0"/>
              <w:snapToGrid w:val="0"/>
              <w:jc w:val="both"/>
              <w:rPr>
                <w:rFonts w:hint="eastAsia"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责令解聘；</w:t>
            </w:r>
          </w:p>
          <w:p w14:paraId="2F482E3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处15.5万元以上20万元以下的罚款。</w:t>
            </w:r>
          </w:p>
        </w:tc>
      </w:tr>
    </w:tbl>
    <w:p w14:paraId="6F06CEC9">
      <w:pPr>
        <w:widowControl/>
        <w:tabs>
          <w:tab w:val="left" w:pos="805"/>
          <w:tab w:val="left" w:pos="2871"/>
          <w:tab w:val="left" w:pos="5518"/>
          <w:tab w:val="left" w:pos="8292"/>
          <w:tab w:val="left" w:pos="10954"/>
        </w:tabs>
        <w:adjustRightInd w:val="0"/>
        <w:snapToGrid w:val="0"/>
        <w:jc w:val="both"/>
        <w:rPr>
          <w:rFonts w:ascii="宋体" w:hAnsi="宋体" w:eastAsia="宋体" w:cs="宋体"/>
          <w:color w:val="auto"/>
          <w:szCs w:val="21"/>
        </w:rPr>
      </w:pPr>
    </w:p>
    <w:p w14:paraId="7236B0DA">
      <w:pPr>
        <w:widowControl/>
        <w:tabs>
          <w:tab w:val="left" w:pos="805"/>
          <w:tab w:val="left" w:pos="2871"/>
          <w:tab w:val="left" w:pos="5518"/>
          <w:tab w:val="left" w:pos="8292"/>
          <w:tab w:val="left" w:pos="10954"/>
        </w:tabs>
        <w:adjustRightInd w:val="0"/>
        <w:snapToGrid w:val="0"/>
        <w:jc w:val="both"/>
        <w:rPr>
          <w:rFonts w:ascii="宋体" w:hAnsi="宋体" w:eastAsia="宋体" w:cs="宋体"/>
          <w:color w:val="auto"/>
          <w:szCs w:val="21"/>
        </w:rPr>
      </w:pPr>
    </w:p>
    <w:tbl>
      <w:tblPr>
        <w:tblStyle w:val="6"/>
        <w:tblW w:w="13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83"/>
        <w:gridCol w:w="2903"/>
        <w:gridCol w:w="2997"/>
        <w:gridCol w:w="2801"/>
        <w:gridCol w:w="3426"/>
      </w:tblGrid>
      <w:tr w14:paraId="5786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34" w:type="dxa"/>
            <w:vMerge w:val="restart"/>
            <w:vAlign w:val="center"/>
          </w:tcPr>
          <w:p w14:paraId="46832DEE">
            <w:pPr>
              <w:widowControl/>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19</w:t>
            </w:r>
          </w:p>
        </w:tc>
        <w:tc>
          <w:tcPr>
            <w:tcW w:w="1083" w:type="dxa"/>
            <w:vAlign w:val="center"/>
          </w:tcPr>
          <w:p w14:paraId="19E9E6A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127" w:type="dxa"/>
            <w:gridSpan w:val="4"/>
            <w:vAlign w:val="center"/>
          </w:tcPr>
          <w:p w14:paraId="70313883">
            <w:pPr>
              <w:widowControl/>
              <w:adjustRightInd w:val="0"/>
              <w:snapToGrid w:val="0"/>
              <w:ind w:right="210"/>
              <w:jc w:val="both"/>
              <w:rPr>
                <w:rFonts w:ascii="仿宋" w:hAnsi="仿宋" w:eastAsia="仿宋" w:cs="Arial"/>
                <w:color w:val="auto"/>
                <w:szCs w:val="21"/>
              </w:rPr>
            </w:pPr>
            <w:r>
              <w:rPr>
                <w:rFonts w:hint="eastAsia" w:ascii="仿宋" w:hAnsi="仿宋" w:eastAsia="仿宋" w:cs="Arial"/>
                <w:b/>
                <w:bCs/>
                <w:color w:val="auto"/>
                <w:szCs w:val="21"/>
              </w:rPr>
              <w:t>生产、销售的疫苗属于假药的</w:t>
            </w:r>
          </w:p>
        </w:tc>
      </w:tr>
      <w:tr w14:paraId="2428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34" w:type="dxa"/>
            <w:vMerge w:val="continue"/>
            <w:vAlign w:val="center"/>
          </w:tcPr>
          <w:p w14:paraId="78245DDB">
            <w:pPr>
              <w:widowControl/>
              <w:adjustRightInd w:val="0"/>
              <w:snapToGrid w:val="0"/>
              <w:jc w:val="both"/>
              <w:rPr>
                <w:rFonts w:ascii="仿宋" w:hAnsi="仿宋" w:eastAsia="仿宋" w:cs="Arial"/>
                <w:color w:val="auto"/>
                <w:szCs w:val="21"/>
              </w:rPr>
            </w:pPr>
          </w:p>
        </w:tc>
        <w:tc>
          <w:tcPr>
            <w:tcW w:w="1083" w:type="dxa"/>
            <w:vAlign w:val="center"/>
          </w:tcPr>
          <w:p w14:paraId="3CDFA28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127" w:type="dxa"/>
            <w:gridSpan w:val="4"/>
            <w:vAlign w:val="center"/>
          </w:tcPr>
          <w:p w14:paraId="6169870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w:t>
            </w:r>
            <w:r>
              <w:rPr>
                <w:rFonts w:hint="eastAsia" w:ascii="仿宋" w:hAnsi="仿宋" w:eastAsia="仿宋" w:cs="Arial"/>
                <w:b/>
                <w:bCs/>
                <w:color w:val="auto"/>
                <w:szCs w:val="21"/>
                <w:lang w:eastAsia="zh-CN"/>
              </w:rPr>
              <w:t>中华人民共和国疫苗管理法</w:t>
            </w:r>
            <w:r>
              <w:rPr>
                <w:rFonts w:hint="eastAsia" w:ascii="仿宋" w:hAnsi="仿宋" w:eastAsia="仿宋" w:cs="Arial"/>
                <w:b/>
                <w:bCs/>
                <w:color w:val="auto"/>
                <w:szCs w:val="21"/>
              </w:rPr>
              <w:t>》第八十条第一款：</w:t>
            </w:r>
            <w:r>
              <w:rPr>
                <w:rFonts w:hint="eastAsia" w:ascii="仿宋" w:hAnsi="仿宋" w:eastAsia="仿宋" w:cs="Arial"/>
                <w:color w:val="auto"/>
                <w:szCs w:val="21"/>
              </w:rPr>
              <w:t>生产、销售的疫苗属于假药的，由省级以上人民政府药品监督管理部门没收违法所得和违法生产、销售的疫苗以及专门用于违法生产疫苗的原料、辅料、包装材料、设备等物品，责令停产停业整顿，吊销药品注册证书，直至吊销药品生产许可证等，并处违法生产、销售疫苗货值金额十五倍以上五十倍以下的罚款，货值金额不足五十万元的，按五十万元计算。</w:t>
            </w:r>
          </w:p>
        </w:tc>
      </w:tr>
      <w:tr w14:paraId="75D5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34" w:type="dxa"/>
            <w:vMerge w:val="continue"/>
            <w:vAlign w:val="center"/>
          </w:tcPr>
          <w:p w14:paraId="73B2B3F2">
            <w:pPr>
              <w:widowControl/>
              <w:adjustRightInd w:val="0"/>
              <w:snapToGrid w:val="0"/>
              <w:jc w:val="both"/>
              <w:rPr>
                <w:rFonts w:ascii="仿宋" w:hAnsi="仿宋" w:eastAsia="仿宋" w:cs="Arial"/>
                <w:color w:val="auto"/>
                <w:szCs w:val="21"/>
              </w:rPr>
            </w:pPr>
          </w:p>
        </w:tc>
        <w:tc>
          <w:tcPr>
            <w:tcW w:w="1083" w:type="dxa"/>
            <w:vAlign w:val="center"/>
          </w:tcPr>
          <w:p w14:paraId="4E47049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903" w:type="dxa"/>
            <w:vAlign w:val="center"/>
          </w:tcPr>
          <w:p w14:paraId="79AEC6A2">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997" w:type="dxa"/>
            <w:vAlign w:val="center"/>
          </w:tcPr>
          <w:p w14:paraId="1F0101D9">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801" w:type="dxa"/>
            <w:vAlign w:val="center"/>
          </w:tcPr>
          <w:p w14:paraId="220FE34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426" w:type="dxa"/>
            <w:vAlign w:val="center"/>
          </w:tcPr>
          <w:p w14:paraId="1E53664B">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从重</w:t>
            </w:r>
          </w:p>
        </w:tc>
      </w:tr>
      <w:tr w14:paraId="4B73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34" w:type="dxa"/>
            <w:vMerge w:val="continue"/>
            <w:vAlign w:val="center"/>
          </w:tcPr>
          <w:p w14:paraId="7FC4E908">
            <w:pPr>
              <w:widowControl/>
              <w:adjustRightInd w:val="0"/>
              <w:snapToGrid w:val="0"/>
              <w:jc w:val="both"/>
              <w:rPr>
                <w:rFonts w:ascii="仿宋" w:hAnsi="仿宋" w:eastAsia="仿宋" w:cs="Arial"/>
                <w:color w:val="auto"/>
                <w:szCs w:val="21"/>
              </w:rPr>
            </w:pPr>
          </w:p>
        </w:tc>
        <w:tc>
          <w:tcPr>
            <w:tcW w:w="1083" w:type="dxa"/>
            <w:vAlign w:val="center"/>
          </w:tcPr>
          <w:p w14:paraId="40A3CE1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2903" w:type="dxa"/>
            <w:vAlign w:val="center"/>
          </w:tcPr>
          <w:p w14:paraId="17C346A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997" w:type="dxa"/>
            <w:vAlign w:val="center"/>
          </w:tcPr>
          <w:p w14:paraId="2B1AF86E">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（一）涉案疫苗尚未被销售或使用的；</w:t>
            </w:r>
          </w:p>
          <w:p w14:paraId="1590D92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801" w:type="dxa"/>
            <w:vAlign w:val="center"/>
          </w:tcPr>
          <w:p w14:paraId="6C4A764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426" w:type="dxa"/>
            <w:vAlign w:val="center"/>
          </w:tcPr>
          <w:p w14:paraId="057B350E">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p w14:paraId="4B957362">
            <w:pPr>
              <w:widowControl/>
              <w:adjustRightInd w:val="0"/>
              <w:snapToGrid w:val="0"/>
              <w:jc w:val="both"/>
              <w:rPr>
                <w:rFonts w:ascii="仿宋" w:hAnsi="仿宋" w:eastAsia="仿宋" w:cs="Arial"/>
                <w:color w:val="auto"/>
                <w:szCs w:val="21"/>
              </w:rPr>
            </w:pPr>
          </w:p>
        </w:tc>
      </w:tr>
      <w:tr w14:paraId="7F84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9" w:hRule="atLeast"/>
          <w:jc w:val="center"/>
        </w:trPr>
        <w:tc>
          <w:tcPr>
            <w:tcW w:w="534" w:type="dxa"/>
            <w:vMerge w:val="continue"/>
            <w:vAlign w:val="center"/>
          </w:tcPr>
          <w:p w14:paraId="2178D116">
            <w:pPr>
              <w:widowControl/>
              <w:adjustRightInd w:val="0"/>
              <w:snapToGrid w:val="0"/>
              <w:jc w:val="both"/>
              <w:rPr>
                <w:rFonts w:ascii="仿宋" w:hAnsi="仿宋" w:eastAsia="仿宋" w:cs="Arial"/>
                <w:color w:val="auto"/>
                <w:szCs w:val="21"/>
              </w:rPr>
            </w:pPr>
          </w:p>
        </w:tc>
        <w:tc>
          <w:tcPr>
            <w:tcW w:w="1083" w:type="dxa"/>
            <w:vAlign w:val="center"/>
          </w:tcPr>
          <w:p w14:paraId="247CDFB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2903" w:type="dxa"/>
            <w:vAlign w:val="center"/>
          </w:tcPr>
          <w:p w14:paraId="653FAEB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14:paraId="2D5DFCC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14:paraId="3A72D04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吊销药品注册证书，直至吊销药品生产许可证等；</w:t>
            </w:r>
          </w:p>
          <w:p w14:paraId="30393C5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并处违法生产、销售疫苗货值金额1.5倍以上15倍以下的罚款；</w:t>
            </w:r>
          </w:p>
          <w:p w14:paraId="54A8E1C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5.</w:t>
            </w:r>
            <w:r>
              <w:rPr>
                <w:rFonts w:hint="eastAsia" w:ascii="仿宋" w:hAnsi="仿宋" w:eastAsia="仿宋" w:cs="Arial"/>
                <w:color w:val="auto"/>
                <w:szCs w:val="21"/>
              </w:rPr>
              <w:t>货值金额不足50万元的，按50万元计算。</w:t>
            </w:r>
          </w:p>
        </w:tc>
        <w:tc>
          <w:tcPr>
            <w:tcW w:w="2997" w:type="dxa"/>
            <w:vAlign w:val="center"/>
          </w:tcPr>
          <w:p w14:paraId="1D1B914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14:paraId="26A241F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14:paraId="7BBD928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吊销药品注册证书，直至吊销药品生产许可证等；</w:t>
            </w:r>
          </w:p>
          <w:p w14:paraId="40462DE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并处违法生产、销售疫苗货值金额15倍以上25.5倍以下的罚款；</w:t>
            </w:r>
          </w:p>
          <w:p w14:paraId="7B07D07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5.</w:t>
            </w:r>
            <w:r>
              <w:rPr>
                <w:rFonts w:hint="eastAsia" w:ascii="仿宋" w:hAnsi="仿宋" w:eastAsia="仿宋" w:cs="Arial"/>
                <w:color w:val="auto"/>
                <w:szCs w:val="21"/>
              </w:rPr>
              <w:t>货值金额不足50万元的，按50万元计算。</w:t>
            </w:r>
          </w:p>
        </w:tc>
        <w:tc>
          <w:tcPr>
            <w:tcW w:w="2801" w:type="dxa"/>
            <w:vAlign w:val="center"/>
          </w:tcPr>
          <w:p w14:paraId="1D81437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14:paraId="71E28E2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14:paraId="6275650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吊销药品注册证书，直至吊销药品生产许可证等；</w:t>
            </w:r>
          </w:p>
          <w:p w14:paraId="0992667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并处违法生产、销售药品货值金额以25.5</w:t>
            </w:r>
            <w:r>
              <w:rPr>
                <w:rFonts w:hint="eastAsia" w:ascii="仿宋" w:hAnsi="仿宋" w:eastAsia="仿宋" w:cs="Arial"/>
                <w:color w:val="auto"/>
                <w:szCs w:val="21"/>
                <w:lang w:eastAsia="zh-CN"/>
              </w:rPr>
              <w:t>倍以</w:t>
            </w:r>
            <w:r>
              <w:rPr>
                <w:rFonts w:hint="eastAsia" w:ascii="仿宋" w:hAnsi="仿宋" w:eastAsia="仿宋" w:cs="Arial"/>
                <w:color w:val="auto"/>
                <w:szCs w:val="21"/>
              </w:rPr>
              <w:t>上39.5倍以下的罚款；</w:t>
            </w:r>
          </w:p>
          <w:p w14:paraId="488E0CF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5.</w:t>
            </w:r>
            <w:r>
              <w:rPr>
                <w:rFonts w:hint="eastAsia" w:ascii="仿宋" w:hAnsi="仿宋" w:eastAsia="仿宋" w:cs="Arial"/>
                <w:color w:val="auto"/>
                <w:szCs w:val="21"/>
              </w:rPr>
              <w:t>货值金额不足50万元的，按50万元计算。</w:t>
            </w:r>
          </w:p>
        </w:tc>
        <w:tc>
          <w:tcPr>
            <w:tcW w:w="3426" w:type="dxa"/>
            <w:vAlign w:val="center"/>
          </w:tcPr>
          <w:p w14:paraId="153A8D2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14:paraId="2CB4120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14:paraId="26E951C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吊销药品生产许可证书，直至吊销药品生产许可证等；</w:t>
            </w:r>
          </w:p>
          <w:p w14:paraId="1552A92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并处违法生产、销售疫苗货值金额39.5倍以上50倍以下的罚款；</w:t>
            </w:r>
          </w:p>
          <w:p w14:paraId="636F1E5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5.</w:t>
            </w:r>
            <w:r>
              <w:rPr>
                <w:rFonts w:hint="eastAsia" w:ascii="仿宋" w:hAnsi="仿宋" w:eastAsia="仿宋" w:cs="Arial"/>
                <w:color w:val="auto"/>
                <w:szCs w:val="21"/>
              </w:rPr>
              <w:t>货值金额不足50万元的，按50万元计算。</w:t>
            </w:r>
          </w:p>
        </w:tc>
      </w:tr>
    </w:tbl>
    <w:p w14:paraId="1E77B5A7">
      <w:pPr>
        <w:widowControl/>
        <w:tabs>
          <w:tab w:val="left" w:pos="679"/>
          <w:tab w:val="left" w:pos="1643"/>
          <w:tab w:val="left" w:pos="4546"/>
          <w:tab w:val="left" w:pos="7543"/>
          <w:tab w:val="left" w:pos="10344"/>
        </w:tabs>
        <w:adjustRightInd w:val="0"/>
        <w:snapToGrid w:val="0"/>
        <w:jc w:val="both"/>
        <w:rPr>
          <w:rFonts w:ascii="仿宋" w:hAnsi="仿宋" w:eastAsia="仿宋" w:cs="Arial"/>
          <w:b/>
          <w:bCs/>
          <w:color w:val="auto"/>
          <w:szCs w:val="21"/>
        </w:rPr>
      </w:pPr>
    </w:p>
    <w:tbl>
      <w:tblPr>
        <w:tblStyle w:val="6"/>
        <w:tblW w:w="13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720"/>
        <w:gridCol w:w="720"/>
        <w:gridCol w:w="2871"/>
        <w:gridCol w:w="2658"/>
        <w:gridCol w:w="2804"/>
        <w:gridCol w:w="3397"/>
      </w:tblGrid>
      <w:tr w14:paraId="0137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3" w:type="dxa"/>
            <w:vMerge w:val="restart"/>
            <w:vAlign w:val="center"/>
          </w:tcPr>
          <w:p w14:paraId="16B5832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20</w:t>
            </w:r>
          </w:p>
        </w:tc>
        <w:tc>
          <w:tcPr>
            <w:tcW w:w="1440" w:type="dxa"/>
            <w:gridSpan w:val="2"/>
            <w:vAlign w:val="center"/>
          </w:tcPr>
          <w:p w14:paraId="66AE78B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1730" w:type="dxa"/>
            <w:gridSpan w:val="4"/>
            <w:vAlign w:val="center"/>
          </w:tcPr>
          <w:p w14:paraId="4DC0195F">
            <w:pPr>
              <w:widowControl/>
              <w:adjustRightInd w:val="0"/>
              <w:snapToGrid w:val="0"/>
              <w:ind w:right="210"/>
              <w:jc w:val="both"/>
              <w:rPr>
                <w:rFonts w:ascii="仿宋" w:hAnsi="仿宋" w:eastAsia="仿宋" w:cs="Arial"/>
                <w:color w:val="auto"/>
                <w:szCs w:val="21"/>
              </w:rPr>
            </w:pPr>
            <w:r>
              <w:rPr>
                <w:rFonts w:hint="eastAsia" w:ascii="仿宋" w:hAnsi="仿宋" w:eastAsia="仿宋" w:cs="Arial"/>
                <w:b/>
                <w:bCs/>
                <w:color w:val="auto"/>
                <w:szCs w:val="21"/>
              </w:rPr>
              <w:t>生产、销售的疫苗属于劣药的</w:t>
            </w:r>
          </w:p>
        </w:tc>
      </w:tr>
      <w:tr w14:paraId="570A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653" w:type="dxa"/>
            <w:vMerge w:val="continue"/>
            <w:vAlign w:val="center"/>
          </w:tcPr>
          <w:p w14:paraId="37357362">
            <w:pPr>
              <w:widowControl/>
              <w:adjustRightInd w:val="0"/>
              <w:snapToGrid w:val="0"/>
              <w:jc w:val="both"/>
              <w:rPr>
                <w:rFonts w:ascii="仿宋" w:hAnsi="仿宋" w:eastAsia="仿宋" w:cs="Arial"/>
                <w:color w:val="auto"/>
                <w:szCs w:val="21"/>
              </w:rPr>
            </w:pPr>
          </w:p>
        </w:tc>
        <w:tc>
          <w:tcPr>
            <w:tcW w:w="1440" w:type="dxa"/>
            <w:gridSpan w:val="2"/>
            <w:vAlign w:val="center"/>
          </w:tcPr>
          <w:p w14:paraId="2DF492A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1730" w:type="dxa"/>
            <w:gridSpan w:val="4"/>
            <w:vAlign w:val="center"/>
          </w:tcPr>
          <w:p w14:paraId="694F7BF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w:t>
            </w:r>
            <w:r>
              <w:rPr>
                <w:rFonts w:hint="eastAsia" w:ascii="仿宋" w:hAnsi="仿宋" w:eastAsia="仿宋" w:cs="Arial"/>
                <w:b/>
                <w:bCs/>
                <w:color w:val="auto"/>
                <w:szCs w:val="21"/>
                <w:lang w:eastAsia="zh-CN"/>
              </w:rPr>
              <w:t>中华人民共和国疫苗管理法</w:t>
            </w:r>
            <w:r>
              <w:rPr>
                <w:rFonts w:hint="eastAsia" w:ascii="仿宋" w:hAnsi="仿宋" w:eastAsia="仿宋" w:cs="Arial"/>
                <w:b/>
                <w:bCs/>
                <w:color w:val="auto"/>
                <w:szCs w:val="21"/>
              </w:rPr>
              <w:t>》第八十条第二款：</w:t>
            </w:r>
            <w:r>
              <w:rPr>
                <w:rFonts w:hint="eastAsia" w:ascii="仿宋" w:hAnsi="仿宋" w:eastAsia="仿宋" w:cs="Arial"/>
                <w:color w:val="auto"/>
                <w:szCs w:val="21"/>
              </w:rPr>
              <w:t>生产、销售的疫苗属于劣药的，由省级以上人民政府药品监督管理部门没收违法所得和违法生产、销售的疫苗以及专门用于违法生产疫苗的原料、辅料、包装材料、设备等物品，责令停产停业整顿，并处违法生产、销售疫苗货值金额十倍以上三十倍以下的罚款，货值金额不足五十万元的，按五十万元计算；情节严重的，吊销药品注册证书，直至吊销药品生产许可证等。</w:t>
            </w:r>
          </w:p>
        </w:tc>
      </w:tr>
      <w:tr w14:paraId="726A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3" w:type="dxa"/>
            <w:vMerge w:val="continue"/>
            <w:vAlign w:val="center"/>
          </w:tcPr>
          <w:p w14:paraId="0D50A7B7">
            <w:pPr>
              <w:widowControl/>
              <w:adjustRightInd w:val="0"/>
              <w:snapToGrid w:val="0"/>
              <w:jc w:val="both"/>
              <w:rPr>
                <w:rFonts w:ascii="仿宋" w:hAnsi="仿宋" w:eastAsia="仿宋" w:cs="Arial"/>
                <w:color w:val="auto"/>
                <w:szCs w:val="21"/>
              </w:rPr>
            </w:pPr>
          </w:p>
        </w:tc>
        <w:tc>
          <w:tcPr>
            <w:tcW w:w="1440" w:type="dxa"/>
            <w:gridSpan w:val="2"/>
            <w:vAlign w:val="center"/>
          </w:tcPr>
          <w:p w14:paraId="70179FB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2871" w:type="dxa"/>
            <w:vAlign w:val="center"/>
          </w:tcPr>
          <w:p w14:paraId="358DE8AD">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658" w:type="dxa"/>
            <w:vAlign w:val="center"/>
          </w:tcPr>
          <w:p w14:paraId="41BFDBF5">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804" w:type="dxa"/>
            <w:vAlign w:val="center"/>
          </w:tcPr>
          <w:p w14:paraId="2757F00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397" w:type="dxa"/>
            <w:vAlign w:val="center"/>
          </w:tcPr>
          <w:p w14:paraId="75CAA9FD">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从重</w:t>
            </w:r>
          </w:p>
        </w:tc>
      </w:tr>
      <w:tr w14:paraId="75DB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653" w:type="dxa"/>
            <w:vMerge w:val="continue"/>
            <w:vAlign w:val="center"/>
          </w:tcPr>
          <w:p w14:paraId="121D26A1">
            <w:pPr>
              <w:widowControl/>
              <w:adjustRightInd w:val="0"/>
              <w:snapToGrid w:val="0"/>
              <w:jc w:val="both"/>
              <w:rPr>
                <w:rFonts w:ascii="仿宋" w:hAnsi="仿宋" w:eastAsia="仿宋" w:cs="Arial"/>
                <w:color w:val="auto"/>
                <w:szCs w:val="21"/>
              </w:rPr>
            </w:pPr>
          </w:p>
        </w:tc>
        <w:tc>
          <w:tcPr>
            <w:tcW w:w="1440" w:type="dxa"/>
            <w:gridSpan w:val="2"/>
            <w:vAlign w:val="center"/>
          </w:tcPr>
          <w:p w14:paraId="6DEA869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2871" w:type="dxa"/>
            <w:vAlign w:val="center"/>
          </w:tcPr>
          <w:p w14:paraId="2C66C10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658" w:type="dxa"/>
            <w:vAlign w:val="center"/>
          </w:tcPr>
          <w:p w14:paraId="79B9FF2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（一）涉案疫苗尚未被销售或使用的；</w:t>
            </w:r>
          </w:p>
          <w:p w14:paraId="4DC7476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804" w:type="dxa"/>
            <w:vAlign w:val="center"/>
          </w:tcPr>
          <w:p w14:paraId="65F1F8C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p w14:paraId="0355AAA8">
            <w:pPr>
              <w:widowControl/>
              <w:adjustRightInd w:val="0"/>
              <w:snapToGrid w:val="0"/>
              <w:jc w:val="both"/>
              <w:rPr>
                <w:rFonts w:ascii="仿宋" w:hAnsi="仿宋" w:eastAsia="仿宋" w:cs="Arial"/>
                <w:color w:val="auto"/>
                <w:szCs w:val="21"/>
              </w:rPr>
            </w:pPr>
          </w:p>
        </w:tc>
        <w:tc>
          <w:tcPr>
            <w:tcW w:w="3397" w:type="dxa"/>
            <w:vAlign w:val="center"/>
          </w:tcPr>
          <w:p w14:paraId="64DBEF8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p w14:paraId="1264ED2E">
            <w:pPr>
              <w:widowControl/>
              <w:adjustRightInd w:val="0"/>
              <w:snapToGrid w:val="0"/>
              <w:jc w:val="both"/>
              <w:rPr>
                <w:rFonts w:ascii="仿宋" w:hAnsi="仿宋" w:eastAsia="仿宋" w:cs="Arial"/>
                <w:color w:val="auto"/>
                <w:szCs w:val="21"/>
              </w:rPr>
            </w:pPr>
          </w:p>
        </w:tc>
      </w:tr>
      <w:tr w14:paraId="2FED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653" w:type="dxa"/>
            <w:vMerge w:val="continue"/>
            <w:vAlign w:val="center"/>
          </w:tcPr>
          <w:p w14:paraId="7CCB1AFF">
            <w:pPr>
              <w:widowControl/>
              <w:adjustRightInd w:val="0"/>
              <w:snapToGrid w:val="0"/>
              <w:jc w:val="both"/>
              <w:rPr>
                <w:rFonts w:ascii="仿宋" w:hAnsi="仿宋" w:eastAsia="仿宋" w:cs="Arial"/>
                <w:color w:val="auto"/>
                <w:szCs w:val="21"/>
              </w:rPr>
            </w:pPr>
          </w:p>
        </w:tc>
        <w:tc>
          <w:tcPr>
            <w:tcW w:w="720" w:type="dxa"/>
            <w:vMerge w:val="restart"/>
            <w:vAlign w:val="center"/>
          </w:tcPr>
          <w:p w14:paraId="175AB5D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w:t>
            </w:r>
          </w:p>
          <w:p w14:paraId="51018F1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基准</w:t>
            </w:r>
          </w:p>
        </w:tc>
        <w:tc>
          <w:tcPr>
            <w:tcW w:w="720" w:type="dxa"/>
            <w:vAlign w:val="center"/>
          </w:tcPr>
          <w:p w14:paraId="72126B2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一般情形</w:t>
            </w:r>
          </w:p>
        </w:tc>
        <w:tc>
          <w:tcPr>
            <w:tcW w:w="2871" w:type="dxa"/>
            <w:vAlign w:val="center"/>
          </w:tcPr>
          <w:p w14:paraId="3528230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1.没收违法所得和违法生产、销售的疫苗以及专门用于违法生产疫苗的原料、辅料、包装材料、设备等物品；</w:t>
            </w:r>
          </w:p>
          <w:p w14:paraId="5480EF8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2.责令停产停业整顿；</w:t>
            </w:r>
          </w:p>
          <w:p w14:paraId="444270B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3.并处违法生产、销售疫苗货值金额1倍以上10倍以下的罚款。</w:t>
            </w:r>
          </w:p>
          <w:p w14:paraId="53E4F59F">
            <w:pPr>
              <w:widowControl/>
              <w:adjustRightInd w:val="0"/>
              <w:snapToGrid w:val="0"/>
              <w:ind w:firstLine="0" w:firstLineChars="0"/>
              <w:jc w:val="both"/>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2658" w:type="dxa"/>
            <w:vAlign w:val="center"/>
          </w:tcPr>
          <w:p w14:paraId="644077E9">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1.没收违法所得和违法生产、销售的疫苗以及专门用于违法生产疫苗的原料、辅料、包装材料、设备等物品；</w:t>
            </w:r>
          </w:p>
          <w:p w14:paraId="3BBD7A29">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2.责令停产停业整顿；</w:t>
            </w:r>
          </w:p>
          <w:p w14:paraId="7FE587C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3.并处违法生产、销售疫苗货值金额10倍以上16倍以下的罚款。</w:t>
            </w:r>
          </w:p>
          <w:p w14:paraId="640E7266">
            <w:pPr>
              <w:widowControl/>
              <w:adjustRightInd w:val="0"/>
              <w:snapToGrid w:val="0"/>
              <w:ind w:firstLine="0" w:firstLineChars="0"/>
              <w:jc w:val="both"/>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2804" w:type="dxa"/>
            <w:vAlign w:val="center"/>
          </w:tcPr>
          <w:p w14:paraId="2F9308F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1.没收违法所得和违法生产、销售的疫苗以及专门用于违法生产疫苗的原料、辅料、包装材料、设备等物品；</w:t>
            </w:r>
          </w:p>
          <w:p w14:paraId="0E7F7D2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2.责令停产停业整顿；</w:t>
            </w:r>
          </w:p>
          <w:p w14:paraId="03DCF87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3.并处违法生产、销售疫苗货值金额16倍以上24倍以下的罚款。</w:t>
            </w:r>
          </w:p>
          <w:p w14:paraId="73DA996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3397" w:type="dxa"/>
            <w:vAlign w:val="center"/>
          </w:tcPr>
          <w:p w14:paraId="6FF434B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1.没收违法所得和违法生产、销售的疫苗以及专门用于违法生产疫苗的原料、辅料、包装材料、设备等物品；</w:t>
            </w:r>
          </w:p>
          <w:p w14:paraId="370E84D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2.责令停产停业整顿；</w:t>
            </w:r>
          </w:p>
          <w:p w14:paraId="3749FCF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3.并处违法生产、销售疫苗货值金额24倍以上30倍以下的罚款。</w:t>
            </w:r>
          </w:p>
          <w:p w14:paraId="31D1AAAA">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r>
      <w:tr w14:paraId="240D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653" w:type="dxa"/>
            <w:vMerge w:val="continue"/>
            <w:vAlign w:val="center"/>
          </w:tcPr>
          <w:p w14:paraId="1748AE18">
            <w:pPr>
              <w:widowControl/>
              <w:adjustRightInd w:val="0"/>
              <w:snapToGrid w:val="0"/>
              <w:jc w:val="both"/>
              <w:rPr>
                <w:rFonts w:ascii="仿宋" w:hAnsi="仿宋" w:eastAsia="仿宋" w:cs="Arial"/>
                <w:color w:val="auto"/>
                <w:szCs w:val="21"/>
              </w:rPr>
            </w:pPr>
          </w:p>
        </w:tc>
        <w:tc>
          <w:tcPr>
            <w:tcW w:w="720" w:type="dxa"/>
            <w:vMerge w:val="continue"/>
            <w:vAlign w:val="center"/>
          </w:tcPr>
          <w:p w14:paraId="70337712">
            <w:pPr>
              <w:widowControl/>
              <w:adjustRightInd w:val="0"/>
              <w:snapToGrid w:val="0"/>
              <w:jc w:val="both"/>
              <w:rPr>
                <w:rFonts w:ascii="仿宋" w:hAnsi="仿宋" w:eastAsia="仿宋" w:cs="Arial"/>
                <w:color w:val="auto"/>
                <w:szCs w:val="21"/>
              </w:rPr>
            </w:pPr>
          </w:p>
        </w:tc>
        <w:tc>
          <w:tcPr>
            <w:tcW w:w="720" w:type="dxa"/>
            <w:vAlign w:val="center"/>
          </w:tcPr>
          <w:p w14:paraId="2B86A73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w:t>
            </w:r>
          </w:p>
          <w:p w14:paraId="4E95338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严重</w:t>
            </w:r>
          </w:p>
        </w:tc>
        <w:tc>
          <w:tcPr>
            <w:tcW w:w="2871" w:type="dxa"/>
            <w:vAlign w:val="center"/>
          </w:tcPr>
          <w:p w14:paraId="5CCA5959">
            <w:pPr>
              <w:widowControl/>
              <w:adjustRightInd w:val="0"/>
              <w:snapToGrid w:val="0"/>
              <w:jc w:val="both"/>
              <w:rPr>
                <w:rFonts w:ascii="仿宋" w:hAnsi="仿宋" w:eastAsia="仿宋" w:cs="Arial"/>
                <w:color w:val="auto"/>
                <w:szCs w:val="21"/>
              </w:rPr>
            </w:pPr>
          </w:p>
        </w:tc>
        <w:tc>
          <w:tcPr>
            <w:tcW w:w="2658" w:type="dxa"/>
            <w:vAlign w:val="center"/>
          </w:tcPr>
          <w:p w14:paraId="09E3A37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eastAsia="zh-CN"/>
              </w:rPr>
              <w:t>并处</w:t>
            </w:r>
            <w:r>
              <w:rPr>
                <w:rFonts w:hint="eastAsia" w:ascii="仿宋" w:hAnsi="仿宋" w:eastAsia="仿宋" w:cs="Arial"/>
                <w:color w:val="auto"/>
                <w:szCs w:val="21"/>
              </w:rPr>
              <w:t>吊销药品注册证书。</w:t>
            </w:r>
          </w:p>
        </w:tc>
        <w:tc>
          <w:tcPr>
            <w:tcW w:w="2804" w:type="dxa"/>
            <w:vAlign w:val="center"/>
          </w:tcPr>
          <w:p w14:paraId="2CA8EA36">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lang w:eastAsia="zh-CN"/>
              </w:rPr>
              <w:t>并处</w:t>
            </w:r>
            <w:r>
              <w:rPr>
                <w:rFonts w:hint="eastAsia" w:ascii="仿宋" w:hAnsi="仿宋" w:eastAsia="仿宋" w:cs="Arial"/>
                <w:color w:val="auto"/>
                <w:szCs w:val="21"/>
              </w:rPr>
              <w:t>吊销药品注册证书。</w:t>
            </w:r>
          </w:p>
        </w:tc>
        <w:tc>
          <w:tcPr>
            <w:tcW w:w="3397" w:type="dxa"/>
            <w:vAlign w:val="center"/>
          </w:tcPr>
          <w:p w14:paraId="1BB18E6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吊销药品注册证书；吊销药品生产许可证等。</w:t>
            </w:r>
          </w:p>
        </w:tc>
      </w:tr>
    </w:tbl>
    <w:p w14:paraId="2AD38FD5">
      <w:pPr>
        <w:widowControl/>
        <w:tabs>
          <w:tab w:val="left" w:pos="679"/>
          <w:tab w:val="left" w:pos="1475"/>
          <w:tab w:val="left" w:pos="2335"/>
          <w:tab w:val="left" w:pos="7646"/>
          <w:tab w:val="left" w:pos="10450"/>
        </w:tabs>
        <w:adjustRightInd w:val="0"/>
        <w:spacing w:line="240" w:lineRule="exact"/>
        <w:jc w:val="both"/>
        <w:rPr>
          <w:rFonts w:ascii="宋体" w:hAnsi="宋体" w:eastAsia="宋体" w:cs="宋体"/>
          <w:color w:val="auto"/>
          <w:szCs w:val="21"/>
        </w:rPr>
      </w:pPr>
    </w:p>
    <w:tbl>
      <w:tblPr>
        <w:tblStyle w:val="6"/>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134"/>
        <w:gridCol w:w="3685"/>
        <w:gridCol w:w="4253"/>
        <w:gridCol w:w="4394"/>
      </w:tblGrid>
      <w:tr w14:paraId="0614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4" w:type="dxa"/>
            <w:vMerge w:val="restart"/>
            <w:vAlign w:val="center"/>
          </w:tcPr>
          <w:p w14:paraId="4D22624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21</w:t>
            </w:r>
          </w:p>
        </w:tc>
        <w:tc>
          <w:tcPr>
            <w:tcW w:w="1134" w:type="dxa"/>
            <w:vAlign w:val="center"/>
          </w:tcPr>
          <w:p w14:paraId="608CCA2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332" w:type="dxa"/>
            <w:gridSpan w:val="3"/>
            <w:vAlign w:val="center"/>
          </w:tcPr>
          <w:p w14:paraId="725176C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生产、销售的疫苗属于假药，或者生产、销售的疫苗属于劣药且情节严重的，对法定代表人、主要负责人、直接负责的主管人员和关键岗位人员以及其他责任人员的处罚</w:t>
            </w:r>
          </w:p>
        </w:tc>
      </w:tr>
      <w:tr w14:paraId="79E2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34" w:type="dxa"/>
            <w:vMerge w:val="continue"/>
            <w:vAlign w:val="center"/>
          </w:tcPr>
          <w:p w14:paraId="0BA9D2C4">
            <w:pPr>
              <w:widowControl/>
              <w:adjustRightInd w:val="0"/>
              <w:snapToGrid w:val="0"/>
              <w:jc w:val="both"/>
              <w:rPr>
                <w:rFonts w:ascii="仿宋" w:hAnsi="仿宋" w:eastAsia="仿宋" w:cs="Arial"/>
                <w:color w:val="auto"/>
                <w:szCs w:val="21"/>
              </w:rPr>
            </w:pPr>
          </w:p>
        </w:tc>
        <w:tc>
          <w:tcPr>
            <w:tcW w:w="1134" w:type="dxa"/>
            <w:vAlign w:val="center"/>
          </w:tcPr>
          <w:p w14:paraId="7FAB6F8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332" w:type="dxa"/>
            <w:gridSpan w:val="3"/>
            <w:vAlign w:val="center"/>
          </w:tcPr>
          <w:p w14:paraId="117FE20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w:t>
            </w:r>
            <w:r>
              <w:rPr>
                <w:rFonts w:hint="eastAsia" w:ascii="仿宋" w:hAnsi="仿宋" w:eastAsia="仿宋" w:cs="Arial"/>
                <w:b/>
                <w:bCs/>
                <w:color w:val="auto"/>
                <w:szCs w:val="21"/>
                <w:lang w:eastAsia="zh-CN"/>
              </w:rPr>
              <w:t>中华人民共和国疫苗管理法</w:t>
            </w:r>
            <w:r>
              <w:rPr>
                <w:rFonts w:hint="eastAsia" w:ascii="仿宋" w:hAnsi="仿宋" w:eastAsia="仿宋" w:cs="Arial"/>
                <w:b/>
                <w:bCs/>
                <w:color w:val="auto"/>
                <w:szCs w:val="21"/>
              </w:rPr>
              <w:t>》第八十条第三款：</w:t>
            </w:r>
            <w:r>
              <w:rPr>
                <w:rFonts w:hint="eastAsia" w:ascii="仿宋" w:hAnsi="仿宋" w:eastAsia="仿宋" w:cs="Arial"/>
                <w:color w:val="auto"/>
                <w:szCs w:val="21"/>
              </w:rPr>
              <w:t>生产、销售的疫苗属于假药，或者生产、销售的疫苗属于劣药且情节严重的，由省级以上人民政府药品监督管理部门对法定代表人、主要负责人、直接负责的主管人员和关键岗位人员以及其他责任人员，没收违法行为发生期间自本单位所获收入，并处所获收入一倍以上十倍以下的罚款，终身禁止从事药品生产经营活动，由公安机关处五日以上十五日以下拘留。</w:t>
            </w:r>
          </w:p>
        </w:tc>
      </w:tr>
      <w:tr w14:paraId="427A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continue"/>
            <w:vAlign w:val="center"/>
          </w:tcPr>
          <w:p w14:paraId="4AC2CAD1">
            <w:pPr>
              <w:widowControl/>
              <w:adjustRightInd w:val="0"/>
              <w:snapToGrid w:val="0"/>
              <w:jc w:val="both"/>
              <w:rPr>
                <w:rFonts w:ascii="仿宋" w:hAnsi="仿宋" w:eastAsia="仿宋" w:cs="Arial"/>
                <w:color w:val="auto"/>
                <w:szCs w:val="21"/>
              </w:rPr>
            </w:pPr>
          </w:p>
        </w:tc>
        <w:tc>
          <w:tcPr>
            <w:tcW w:w="1134" w:type="dxa"/>
            <w:vAlign w:val="center"/>
          </w:tcPr>
          <w:p w14:paraId="20E5E0D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3685" w:type="dxa"/>
            <w:vAlign w:val="center"/>
          </w:tcPr>
          <w:p w14:paraId="66D87DA1">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从轻</w:t>
            </w:r>
          </w:p>
        </w:tc>
        <w:tc>
          <w:tcPr>
            <w:tcW w:w="4253" w:type="dxa"/>
            <w:vAlign w:val="center"/>
          </w:tcPr>
          <w:p w14:paraId="0E1795D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4394" w:type="dxa"/>
            <w:vAlign w:val="center"/>
          </w:tcPr>
          <w:p w14:paraId="402C6CAA">
            <w:pPr>
              <w:widowControl/>
              <w:adjustRightInd w:val="0"/>
              <w:snapToGrid w:val="0"/>
              <w:ind w:right="30"/>
              <w:jc w:val="both"/>
              <w:rPr>
                <w:rFonts w:ascii="仿宋" w:hAnsi="仿宋" w:eastAsia="仿宋" w:cs="Arial"/>
                <w:color w:val="auto"/>
                <w:szCs w:val="21"/>
              </w:rPr>
            </w:pPr>
            <w:r>
              <w:rPr>
                <w:rFonts w:hint="eastAsia" w:ascii="仿宋" w:hAnsi="仿宋" w:eastAsia="仿宋" w:cs="Arial"/>
                <w:b/>
                <w:bCs/>
                <w:color w:val="auto"/>
                <w:szCs w:val="21"/>
              </w:rPr>
              <w:t>从重</w:t>
            </w:r>
          </w:p>
        </w:tc>
      </w:tr>
      <w:tr w14:paraId="1D34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continue"/>
            <w:vAlign w:val="center"/>
          </w:tcPr>
          <w:p w14:paraId="14F82EC3">
            <w:pPr>
              <w:widowControl/>
              <w:adjustRightInd w:val="0"/>
              <w:snapToGrid w:val="0"/>
              <w:jc w:val="both"/>
              <w:rPr>
                <w:rFonts w:ascii="仿宋" w:hAnsi="仿宋" w:eastAsia="仿宋" w:cs="Arial"/>
                <w:color w:val="auto"/>
                <w:szCs w:val="21"/>
              </w:rPr>
            </w:pPr>
          </w:p>
        </w:tc>
        <w:tc>
          <w:tcPr>
            <w:tcW w:w="1134" w:type="dxa"/>
            <w:vAlign w:val="center"/>
          </w:tcPr>
          <w:p w14:paraId="7CBAC1D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3685" w:type="dxa"/>
            <w:vAlign w:val="center"/>
          </w:tcPr>
          <w:p w14:paraId="1936792E">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4253" w:type="dxa"/>
            <w:vAlign w:val="center"/>
          </w:tcPr>
          <w:p w14:paraId="7CF03FE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4394" w:type="dxa"/>
            <w:vAlign w:val="center"/>
          </w:tcPr>
          <w:p w14:paraId="12356D7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6A0C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34" w:type="dxa"/>
            <w:vMerge w:val="continue"/>
            <w:vAlign w:val="center"/>
          </w:tcPr>
          <w:p w14:paraId="3235BE6F">
            <w:pPr>
              <w:widowControl/>
              <w:adjustRightInd w:val="0"/>
              <w:snapToGrid w:val="0"/>
              <w:jc w:val="both"/>
              <w:rPr>
                <w:rFonts w:ascii="仿宋" w:hAnsi="仿宋" w:eastAsia="仿宋" w:cs="Arial"/>
                <w:color w:val="auto"/>
                <w:szCs w:val="21"/>
              </w:rPr>
            </w:pPr>
          </w:p>
        </w:tc>
        <w:tc>
          <w:tcPr>
            <w:tcW w:w="1134" w:type="dxa"/>
            <w:vAlign w:val="center"/>
          </w:tcPr>
          <w:p w14:paraId="33F8A94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3685" w:type="dxa"/>
            <w:vAlign w:val="center"/>
          </w:tcPr>
          <w:p w14:paraId="29B238A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530473E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收入1倍以上3.7倍以下的罚款；</w:t>
            </w:r>
          </w:p>
          <w:p w14:paraId="29107E1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终身禁止从事药品生产经营活动。</w:t>
            </w:r>
          </w:p>
        </w:tc>
        <w:tc>
          <w:tcPr>
            <w:tcW w:w="4253" w:type="dxa"/>
            <w:vAlign w:val="center"/>
          </w:tcPr>
          <w:p w14:paraId="559AB57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5DA8DF0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处所获收入3.7倍以上7.3倍以下的罚款；</w:t>
            </w:r>
          </w:p>
          <w:p w14:paraId="5F175E2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终身禁止从事药品生产经营活动。</w:t>
            </w:r>
          </w:p>
        </w:tc>
        <w:tc>
          <w:tcPr>
            <w:tcW w:w="4394" w:type="dxa"/>
            <w:vAlign w:val="center"/>
          </w:tcPr>
          <w:p w14:paraId="4A031A6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2E8E471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处所获收入7.3倍以上10倍以下的罚款；</w:t>
            </w:r>
          </w:p>
          <w:p w14:paraId="176404B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终身禁止从事药品生产经营活动。</w:t>
            </w:r>
          </w:p>
        </w:tc>
      </w:tr>
    </w:tbl>
    <w:p w14:paraId="795F07D2">
      <w:pPr>
        <w:widowControl/>
        <w:tabs>
          <w:tab w:val="left" w:pos="679"/>
          <w:tab w:val="left" w:pos="2300"/>
          <w:tab w:val="left" w:pos="5861"/>
          <w:tab w:val="left" w:pos="9688"/>
        </w:tabs>
        <w:adjustRightInd w:val="0"/>
        <w:snapToGrid w:val="0"/>
        <w:jc w:val="both"/>
        <w:rPr>
          <w:rFonts w:ascii="仿宋" w:hAnsi="仿宋" w:eastAsia="仿宋" w:cs="Arial"/>
          <w:b/>
          <w:bCs/>
          <w:color w:val="auto"/>
          <w:szCs w:val="21"/>
        </w:rPr>
      </w:pPr>
    </w:p>
    <w:tbl>
      <w:tblPr>
        <w:tblStyle w:val="6"/>
        <w:tblW w:w="13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567"/>
        <w:gridCol w:w="3210"/>
        <w:gridCol w:w="3038"/>
        <w:gridCol w:w="3038"/>
        <w:gridCol w:w="3038"/>
      </w:tblGrid>
      <w:tr w14:paraId="2642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restart"/>
            <w:vAlign w:val="center"/>
          </w:tcPr>
          <w:p w14:paraId="05BA948D">
            <w:pPr>
              <w:widowControl/>
              <w:adjustRightInd w:val="0"/>
              <w:snapToGrid w:val="0"/>
              <w:jc w:val="both"/>
              <w:rPr>
                <w:rFonts w:hint="eastAsia" w:ascii="仿宋" w:hAnsi="仿宋" w:eastAsia="仿宋" w:cs="宋体"/>
                <w:b/>
                <w:color w:val="auto"/>
                <w:szCs w:val="21"/>
              </w:rPr>
            </w:pPr>
            <w:r>
              <w:rPr>
                <w:rFonts w:hint="eastAsia" w:ascii="仿宋" w:hAnsi="仿宋" w:eastAsia="仿宋" w:cs="宋体"/>
                <w:b/>
                <w:color w:val="auto"/>
                <w:szCs w:val="21"/>
              </w:rPr>
              <w:t>22</w:t>
            </w:r>
          </w:p>
          <w:p w14:paraId="76E1F929">
            <w:pPr>
              <w:widowControl/>
              <w:adjustRightInd w:val="0"/>
              <w:snapToGrid w:val="0"/>
              <w:jc w:val="both"/>
              <w:rPr>
                <w:rFonts w:ascii="仿宋" w:hAnsi="仿宋" w:eastAsia="仿宋" w:cs="Arial"/>
                <w:b/>
                <w:color w:val="auto"/>
                <w:szCs w:val="21"/>
              </w:rPr>
            </w:pPr>
          </w:p>
        </w:tc>
        <w:tc>
          <w:tcPr>
            <w:tcW w:w="1134" w:type="dxa"/>
            <w:gridSpan w:val="2"/>
            <w:vAlign w:val="center"/>
          </w:tcPr>
          <w:p w14:paraId="44F6E9D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324" w:type="dxa"/>
            <w:gridSpan w:val="4"/>
            <w:vAlign w:val="center"/>
          </w:tcPr>
          <w:p w14:paraId="09DA5E23">
            <w:pPr>
              <w:widowControl/>
              <w:adjustRightInd w:val="0"/>
              <w:snapToGrid w:val="0"/>
              <w:ind w:right="210"/>
              <w:jc w:val="both"/>
              <w:rPr>
                <w:rFonts w:ascii="仿宋" w:hAnsi="仿宋" w:eastAsia="仿宋" w:cs="Arial"/>
                <w:color w:val="auto"/>
                <w:szCs w:val="21"/>
              </w:rPr>
            </w:pPr>
            <w:r>
              <w:rPr>
                <w:rFonts w:hint="eastAsia" w:ascii="仿宋" w:hAnsi="仿宋" w:eastAsia="仿宋" w:cs="Arial"/>
                <w:b/>
                <w:bCs/>
                <w:color w:val="auto"/>
                <w:szCs w:val="21"/>
              </w:rPr>
              <w:t>违反《</w:t>
            </w:r>
            <w:r>
              <w:rPr>
                <w:rFonts w:hint="eastAsia" w:ascii="仿宋" w:hAnsi="仿宋" w:eastAsia="仿宋" w:cs="Arial"/>
                <w:b/>
                <w:bCs/>
                <w:color w:val="auto"/>
                <w:szCs w:val="21"/>
                <w:lang w:eastAsia="zh-CN"/>
              </w:rPr>
              <w:t>中华人民共和国疫苗管理法</w:t>
            </w:r>
            <w:r>
              <w:rPr>
                <w:rFonts w:hint="eastAsia" w:ascii="仿宋" w:hAnsi="仿宋" w:eastAsia="仿宋" w:cs="Arial"/>
                <w:b/>
                <w:bCs/>
                <w:color w:val="auto"/>
                <w:szCs w:val="21"/>
              </w:rPr>
              <w:t>》第八十一条的行为</w:t>
            </w:r>
          </w:p>
        </w:tc>
      </w:tr>
      <w:tr w14:paraId="30AB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8" w:hRule="atLeast"/>
          <w:jc w:val="center"/>
        </w:trPr>
        <w:tc>
          <w:tcPr>
            <w:tcW w:w="534" w:type="dxa"/>
            <w:vMerge w:val="continue"/>
            <w:vAlign w:val="center"/>
          </w:tcPr>
          <w:p w14:paraId="4113C8C2">
            <w:pPr>
              <w:widowControl/>
              <w:adjustRightInd w:val="0"/>
              <w:snapToGrid w:val="0"/>
              <w:jc w:val="both"/>
              <w:rPr>
                <w:rFonts w:ascii="仿宋" w:hAnsi="仿宋" w:eastAsia="仿宋" w:cs="Arial"/>
                <w:color w:val="auto"/>
                <w:szCs w:val="21"/>
              </w:rPr>
            </w:pPr>
          </w:p>
        </w:tc>
        <w:tc>
          <w:tcPr>
            <w:tcW w:w="1134" w:type="dxa"/>
            <w:gridSpan w:val="2"/>
            <w:vAlign w:val="center"/>
          </w:tcPr>
          <w:p w14:paraId="59A941F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324" w:type="dxa"/>
            <w:gridSpan w:val="4"/>
            <w:vAlign w:val="center"/>
          </w:tcPr>
          <w:p w14:paraId="0EA5206F">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w:t>
            </w:r>
            <w:r>
              <w:rPr>
                <w:rFonts w:hint="eastAsia" w:ascii="仿宋" w:hAnsi="仿宋" w:eastAsia="仿宋" w:cs="Arial"/>
                <w:b/>
                <w:bCs/>
                <w:color w:val="auto"/>
                <w:szCs w:val="21"/>
                <w:lang w:eastAsia="zh-CN"/>
              </w:rPr>
              <w:t>中华人民共和国疫苗管理法</w:t>
            </w:r>
            <w:r>
              <w:rPr>
                <w:rFonts w:hint="eastAsia" w:ascii="仿宋" w:hAnsi="仿宋" w:eastAsia="仿宋" w:cs="Arial"/>
                <w:b/>
                <w:bCs/>
                <w:color w:val="auto"/>
                <w:szCs w:val="21"/>
              </w:rPr>
              <w:t>》第八十一条；</w:t>
            </w:r>
            <w:r>
              <w:rPr>
                <w:rFonts w:hint="eastAsia" w:ascii="仿宋" w:hAnsi="仿宋" w:eastAsia="仿宋" w:cs="Arial"/>
                <w:color w:val="auto"/>
                <w:szCs w:val="21"/>
              </w:rPr>
              <w:t>有下列情形之一的，由省级以上人民政府药品监督管理部门没收违法所得和违法生产、销售的疫苗以及专门用于违法生产疫苗的原料、辅料、包装材料、设备等物品，责令停产停业整顿，并处违法生产、销售疫苗货值金额十五倍以上五十倍以下的罚款，货值金额不足五十万元的，按五十万元计算；情节严重的，吊销药品相关批准证明文件，直至吊销药品生产许可证等，对法定代表人、主要负责人、直接负责的主管人员和关键岗位人员以及其他责任人员，没收违法行为发生期间自本单位所获收入，并处所获收入百分之五十以上十倍以下的罚款，十年内直至终身禁止从事药品生产经营活动，由公安机关处五日以上十五日以下拘留：</w:t>
            </w:r>
          </w:p>
          <w:p w14:paraId="46590EEE">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（一）申请疫苗临床试验、注册、批签发提供虚假数据、资料、样品或者有其他欺骗行为；</w:t>
            </w:r>
          </w:p>
          <w:p w14:paraId="7BDE4367">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（二）编造生产、检验记录或者更改产品批号；</w:t>
            </w:r>
          </w:p>
          <w:p w14:paraId="4CD85934">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（三）疾病预防控制机构以外的单位或者个人向接种单位供应疫苗；</w:t>
            </w:r>
          </w:p>
          <w:p w14:paraId="420953B7">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（四）委托生产疫苗未经批准；</w:t>
            </w:r>
          </w:p>
          <w:p w14:paraId="08FD2C0A">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（五）生产工艺、生产场地、关键设备等发生变更按照规定应当经批准而未经批准；</w:t>
            </w:r>
          </w:p>
          <w:p w14:paraId="5C4617F6">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（六）更新疫苗说明书、标签按照规定应当经核准而未经核准。</w:t>
            </w:r>
          </w:p>
        </w:tc>
      </w:tr>
      <w:tr w14:paraId="5C32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vAlign w:val="center"/>
          </w:tcPr>
          <w:p w14:paraId="592A427A">
            <w:pPr>
              <w:widowControl/>
              <w:adjustRightInd w:val="0"/>
              <w:snapToGrid w:val="0"/>
              <w:jc w:val="both"/>
              <w:rPr>
                <w:rFonts w:ascii="仿宋" w:hAnsi="仿宋" w:eastAsia="仿宋" w:cs="Arial"/>
                <w:b/>
                <w:color w:val="auto"/>
                <w:szCs w:val="21"/>
              </w:rPr>
            </w:pPr>
          </w:p>
        </w:tc>
        <w:tc>
          <w:tcPr>
            <w:tcW w:w="1134" w:type="dxa"/>
            <w:gridSpan w:val="2"/>
            <w:vAlign w:val="center"/>
          </w:tcPr>
          <w:p w14:paraId="333A8DE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3210" w:type="dxa"/>
            <w:vAlign w:val="center"/>
          </w:tcPr>
          <w:p w14:paraId="2EEA3B4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3038" w:type="dxa"/>
            <w:vAlign w:val="center"/>
          </w:tcPr>
          <w:p w14:paraId="0A06186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3038" w:type="dxa"/>
            <w:vAlign w:val="center"/>
          </w:tcPr>
          <w:p w14:paraId="5B016F4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038" w:type="dxa"/>
            <w:vAlign w:val="center"/>
          </w:tcPr>
          <w:p w14:paraId="58BE698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0B5D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534" w:type="dxa"/>
            <w:vMerge w:val="continue"/>
            <w:vAlign w:val="center"/>
          </w:tcPr>
          <w:p w14:paraId="3BE6859A">
            <w:pPr>
              <w:widowControl/>
              <w:adjustRightInd w:val="0"/>
              <w:snapToGrid w:val="0"/>
              <w:jc w:val="both"/>
              <w:rPr>
                <w:rFonts w:ascii="仿宋" w:hAnsi="仿宋" w:eastAsia="仿宋" w:cs="Arial"/>
                <w:color w:val="auto"/>
                <w:szCs w:val="21"/>
              </w:rPr>
            </w:pPr>
          </w:p>
        </w:tc>
        <w:tc>
          <w:tcPr>
            <w:tcW w:w="1134" w:type="dxa"/>
            <w:gridSpan w:val="2"/>
            <w:vAlign w:val="center"/>
          </w:tcPr>
          <w:p w14:paraId="6C7D64F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3210" w:type="dxa"/>
            <w:vAlign w:val="center"/>
          </w:tcPr>
          <w:p w14:paraId="16B3FB8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3038" w:type="dxa"/>
            <w:vAlign w:val="center"/>
          </w:tcPr>
          <w:p w14:paraId="0ED70A80">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（一）涉案疫苗尚未被销售或使用的；</w:t>
            </w:r>
          </w:p>
          <w:p w14:paraId="52A19325">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3038" w:type="dxa"/>
            <w:vAlign w:val="center"/>
          </w:tcPr>
          <w:p w14:paraId="358FD7E2">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038" w:type="dxa"/>
            <w:vAlign w:val="center"/>
          </w:tcPr>
          <w:p w14:paraId="30A9A7C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7F9D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34" w:type="dxa"/>
            <w:vMerge w:val="continue"/>
            <w:vAlign w:val="center"/>
          </w:tcPr>
          <w:p w14:paraId="6C7BAB43">
            <w:pPr>
              <w:widowControl/>
              <w:adjustRightInd w:val="0"/>
              <w:snapToGrid w:val="0"/>
              <w:jc w:val="both"/>
              <w:rPr>
                <w:rFonts w:ascii="仿宋" w:hAnsi="仿宋" w:eastAsia="仿宋" w:cs="Arial"/>
                <w:color w:val="auto"/>
                <w:szCs w:val="21"/>
              </w:rPr>
            </w:pPr>
          </w:p>
        </w:tc>
        <w:tc>
          <w:tcPr>
            <w:tcW w:w="567" w:type="dxa"/>
            <w:vMerge w:val="restart"/>
            <w:vAlign w:val="center"/>
          </w:tcPr>
          <w:p w14:paraId="3F9C327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w:t>
            </w:r>
          </w:p>
          <w:p w14:paraId="718C0F7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量</w:t>
            </w:r>
          </w:p>
          <w:p w14:paraId="293522F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w:t>
            </w:r>
          </w:p>
          <w:p w14:paraId="5A8B494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准</w:t>
            </w:r>
          </w:p>
        </w:tc>
        <w:tc>
          <w:tcPr>
            <w:tcW w:w="567" w:type="dxa"/>
            <w:vAlign w:val="center"/>
          </w:tcPr>
          <w:p w14:paraId="497A692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p w14:paraId="098B0B6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情形</w:t>
            </w:r>
          </w:p>
        </w:tc>
        <w:tc>
          <w:tcPr>
            <w:tcW w:w="3210" w:type="dxa"/>
            <w:vAlign w:val="center"/>
          </w:tcPr>
          <w:p w14:paraId="1F8218D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14:paraId="78D8B4B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14:paraId="0FAFED0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并处违法生产、销售疫苗货值金额1.5倍以上15倍以下的罚款。</w:t>
            </w:r>
          </w:p>
          <w:p w14:paraId="2DE336B8">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3038" w:type="dxa"/>
            <w:vAlign w:val="center"/>
          </w:tcPr>
          <w:p w14:paraId="480D86B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14:paraId="69DD546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14:paraId="5E07B94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并处违法生产、销售疫苗货值金额15倍以上25.5倍以下的罚款。</w:t>
            </w:r>
          </w:p>
          <w:p w14:paraId="5112B6B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3038" w:type="dxa"/>
            <w:vAlign w:val="center"/>
          </w:tcPr>
          <w:p w14:paraId="7105454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14:paraId="0C0FCDF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14:paraId="121452A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并处违法生产、销售疫苗货值金额25.5倍以上39.5倍以下的罚款。</w:t>
            </w:r>
          </w:p>
          <w:p w14:paraId="65142EF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3038" w:type="dxa"/>
            <w:vAlign w:val="center"/>
          </w:tcPr>
          <w:p w14:paraId="1F1C9D3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14:paraId="2D464AA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14:paraId="24C7BAE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并处违法生产、销售疫苗货值金额39.5倍以上50倍以下的罚款。</w:t>
            </w:r>
          </w:p>
          <w:p w14:paraId="0FED436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r>
      <w:tr w14:paraId="72D1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2" w:hRule="atLeast"/>
          <w:jc w:val="center"/>
        </w:trPr>
        <w:tc>
          <w:tcPr>
            <w:tcW w:w="534" w:type="dxa"/>
            <w:vMerge w:val="continue"/>
            <w:vAlign w:val="center"/>
          </w:tcPr>
          <w:p w14:paraId="7F13EB15">
            <w:pPr>
              <w:widowControl/>
              <w:adjustRightInd w:val="0"/>
              <w:snapToGrid w:val="0"/>
              <w:jc w:val="both"/>
              <w:rPr>
                <w:rFonts w:ascii="仿宋" w:hAnsi="仿宋" w:eastAsia="仿宋" w:cs="Arial"/>
                <w:color w:val="auto"/>
                <w:szCs w:val="21"/>
              </w:rPr>
            </w:pPr>
          </w:p>
        </w:tc>
        <w:tc>
          <w:tcPr>
            <w:tcW w:w="567" w:type="dxa"/>
            <w:vMerge w:val="continue"/>
            <w:vAlign w:val="center"/>
          </w:tcPr>
          <w:p w14:paraId="00A57F12">
            <w:pPr>
              <w:widowControl/>
              <w:adjustRightInd w:val="0"/>
              <w:snapToGrid w:val="0"/>
              <w:jc w:val="both"/>
              <w:rPr>
                <w:rFonts w:ascii="仿宋" w:hAnsi="仿宋" w:eastAsia="仿宋" w:cs="Arial"/>
                <w:color w:val="auto"/>
                <w:szCs w:val="21"/>
              </w:rPr>
            </w:pPr>
          </w:p>
        </w:tc>
        <w:tc>
          <w:tcPr>
            <w:tcW w:w="567" w:type="dxa"/>
            <w:vAlign w:val="center"/>
          </w:tcPr>
          <w:p w14:paraId="4F68B48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情节严重</w:t>
            </w:r>
          </w:p>
        </w:tc>
        <w:tc>
          <w:tcPr>
            <w:tcW w:w="3210" w:type="dxa"/>
            <w:vAlign w:val="center"/>
          </w:tcPr>
          <w:p w14:paraId="7DF5B8F6">
            <w:pPr>
              <w:widowControl/>
              <w:adjustRightInd w:val="0"/>
              <w:snapToGrid w:val="0"/>
              <w:jc w:val="both"/>
              <w:rPr>
                <w:rFonts w:ascii="仿宋" w:hAnsi="仿宋" w:eastAsia="仿宋" w:cs="Arial"/>
                <w:color w:val="auto"/>
                <w:szCs w:val="21"/>
              </w:rPr>
            </w:pPr>
          </w:p>
        </w:tc>
        <w:tc>
          <w:tcPr>
            <w:tcW w:w="3038" w:type="dxa"/>
            <w:vAlign w:val="center"/>
          </w:tcPr>
          <w:p w14:paraId="07FBEED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（一）对单位的处罚：</w:t>
            </w:r>
          </w:p>
          <w:p w14:paraId="45EE361C">
            <w:pPr>
              <w:widowControl/>
              <w:adjustRightInd w:val="0"/>
              <w:snapToGrid w:val="0"/>
              <w:jc w:val="both"/>
              <w:rPr>
                <w:rFonts w:ascii="仿宋" w:hAnsi="仿宋" w:eastAsia="仿宋" w:cs="Arial"/>
                <w:color w:val="auto"/>
                <w:szCs w:val="21"/>
              </w:rPr>
            </w:pPr>
            <w:r>
              <w:rPr>
                <w:rFonts w:hint="eastAsia" w:ascii="仿宋" w:hAnsi="仿宋" w:eastAsia="仿宋" w:cs="Arial"/>
                <w:color w:val="FF0000"/>
                <w:szCs w:val="21"/>
                <w:lang w:eastAsia="zh-CN"/>
              </w:rPr>
              <w:t>并处</w:t>
            </w:r>
            <w:r>
              <w:rPr>
                <w:rFonts w:hint="eastAsia" w:ascii="仿宋" w:hAnsi="仿宋" w:eastAsia="仿宋" w:cs="Arial"/>
                <w:color w:val="auto"/>
                <w:szCs w:val="21"/>
              </w:rPr>
              <w:t>吊销药品相关批准证明文件。</w:t>
            </w:r>
          </w:p>
          <w:p w14:paraId="53189DB3">
            <w:pPr>
              <w:widowControl/>
              <w:adjustRightInd w:val="0"/>
              <w:snapToGrid w:val="0"/>
              <w:jc w:val="both"/>
              <w:rPr>
                <w:rFonts w:ascii="仿宋" w:hAnsi="仿宋" w:eastAsia="仿宋" w:cs="Arial"/>
                <w:b/>
                <w:bCs/>
                <w:color w:val="auto"/>
                <w:szCs w:val="21"/>
              </w:rPr>
            </w:pPr>
            <w:r>
              <w:rPr>
                <w:rFonts w:hint="eastAsia" w:ascii="仿宋" w:hAnsi="仿宋" w:eastAsia="仿宋" w:cs="Arial"/>
                <w:b/>
                <w:bCs/>
                <w:color w:val="auto"/>
                <w:szCs w:val="21"/>
              </w:rPr>
              <w:t>（二）对法定代表人、主要负责人、直接负责的主管人员和关键岗位人员以及其他责任人员的处罚：</w:t>
            </w:r>
          </w:p>
          <w:p w14:paraId="4FD1788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5A56099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并处所获收入50%以上3.35倍以下的罚款；</w:t>
            </w:r>
          </w:p>
          <w:p w14:paraId="34B55C6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10年内禁止从事药品生产经营活动。</w:t>
            </w:r>
          </w:p>
        </w:tc>
        <w:tc>
          <w:tcPr>
            <w:tcW w:w="3038" w:type="dxa"/>
            <w:vAlign w:val="center"/>
          </w:tcPr>
          <w:p w14:paraId="2C81C5C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（一）对单位的处罚</w:t>
            </w:r>
            <w:r>
              <w:rPr>
                <w:rFonts w:hint="eastAsia" w:ascii="仿宋" w:hAnsi="仿宋" w:eastAsia="仿宋" w:cs="Arial"/>
                <w:color w:val="auto"/>
                <w:szCs w:val="21"/>
              </w:rPr>
              <w:t>：</w:t>
            </w:r>
          </w:p>
          <w:p w14:paraId="0A53DD62">
            <w:pPr>
              <w:widowControl/>
              <w:adjustRightInd w:val="0"/>
              <w:snapToGrid w:val="0"/>
              <w:jc w:val="both"/>
              <w:rPr>
                <w:rFonts w:ascii="仿宋" w:hAnsi="仿宋" w:eastAsia="仿宋" w:cs="Arial"/>
                <w:color w:val="auto"/>
                <w:szCs w:val="21"/>
              </w:rPr>
            </w:pPr>
            <w:r>
              <w:rPr>
                <w:rFonts w:hint="eastAsia" w:ascii="仿宋" w:hAnsi="仿宋" w:eastAsia="仿宋" w:cs="Arial"/>
                <w:color w:val="FF0000"/>
                <w:szCs w:val="21"/>
                <w:lang w:eastAsia="zh-CN"/>
              </w:rPr>
              <w:t>并处</w:t>
            </w:r>
            <w:r>
              <w:rPr>
                <w:rFonts w:hint="eastAsia" w:ascii="仿宋" w:hAnsi="仿宋" w:eastAsia="仿宋" w:cs="Arial"/>
                <w:color w:val="auto"/>
                <w:szCs w:val="21"/>
              </w:rPr>
              <w:t>吊销药品相关批准证明文件。</w:t>
            </w:r>
          </w:p>
          <w:p w14:paraId="345D0C7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（二）对法定代表人、主要负责人、直接负责的主管人员和关键岗位人员以及其他责任人员的处罚：</w:t>
            </w:r>
          </w:p>
          <w:p w14:paraId="2AE7721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2BD6F28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并处所获收入3.35倍以上7.15倍以下的罚款；</w:t>
            </w:r>
          </w:p>
          <w:p w14:paraId="18325EA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10年以上</w:t>
            </w:r>
            <w:r>
              <w:rPr>
                <w:rFonts w:hint="eastAsia" w:ascii="仿宋" w:hAnsi="仿宋" w:eastAsia="仿宋" w:cs="Arial"/>
                <w:color w:val="auto"/>
                <w:szCs w:val="21"/>
                <w:lang w:eastAsia="zh-CN"/>
              </w:rPr>
              <w:t>（不含本数）</w:t>
            </w:r>
            <w:r>
              <w:rPr>
                <w:rFonts w:hint="eastAsia" w:ascii="仿宋" w:hAnsi="仿宋" w:eastAsia="仿宋" w:cs="Arial"/>
                <w:color w:val="auto"/>
                <w:szCs w:val="21"/>
              </w:rPr>
              <w:t>20年以内</w:t>
            </w:r>
            <w:r>
              <w:rPr>
                <w:rFonts w:hint="eastAsia" w:ascii="仿宋" w:hAnsi="仿宋" w:eastAsia="仿宋" w:cs="Arial"/>
                <w:color w:val="auto"/>
                <w:szCs w:val="21"/>
                <w:lang w:eastAsia="zh-CN"/>
              </w:rPr>
              <w:t>（含本数）</w:t>
            </w:r>
            <w:r>
              <w:rPr>
                <w:rFonts w:hint="eastAsia" w:ascii="仿宋" w:hAnsi="仿宋" w:eastAsia="仿宋" w:cs="Arial"/>
                <w:color w:val="auto"/>
                <w:szCs w:val="21"/>
              </w:rPr>
              <w:t>禁止从事药品生产经营活动。</w:t>
            </w:r>
          </w:p>
        </w:tc>
        <w:tc>
          <w:tcPr>
            <w:tcW w:w="3038" w:type="dxa"/>
            <w:vAlign w:val="center"/>
          </w:tcPr>
          <w:p w14:paraId="712652F0">
            <w:pPr>
              <w:widowControl/>
              <w:adjustRightInd w:val="0"/>
              <w:spacing w:line="260" w:lineRule="exact"/>
              <w:jc w:val="both"/>
              <w:rPr>
                <w:rFonts w:ascii="仿宋" w:hAnsi="仿宋" w:eastAsia="仿宋" w:cs="Arial"/>
                <w:color w:val="auto"/>
                <w:szCs w:val="21"/>
              </w:rPr>
            </w:pPr>
            <w:r>
              <w:rPr>
                <w:rFonts w:hint="eastAsia" w:ascii="仿宋" w:hAnsi="仿宋" w:eastAsia="仿宋" w:cs="Arial"/>
                <w:b/>
                <w:bCs/>
                <w:color w:val="auto"/>
                <w:szCs w:val="21"/>
              </w:rPr>
              <w:t>（一）对单位的处罚：</w:t>
            </w:r>
          </w:p>
          <w:p w14:paraId="4E5F42A6">
            <w:pPr>
              <w:widowControl/>
              <w:adjustRightInd w:val="0"/>
              <w:spacing w:line="260" w:lineRule="exact"/>
              <w:jc w:val="both"/>
              <w:rPr>
                <w:rFonts w:ascii="仿宋" w:hAnsi="仿宋" w:eastAsia="仿宋" w:cs="Arial"/>
                <w:color w:val="auto"/>
                <w:szCs w:val="21"/>
              </w:rPr>
            </w:pPr>
            <w:r>
              <w:rPr>
                <w:rFonts w:hint="eastAsia" w:ascii="仿宋" w:hAnsi="仿宋" w:eastAsia="仿宋" w:cs="Arial"/>
                <w:color w:val="FF0000"/>
                <w:szCs w:val="21"/>
                <w:lang w:eastAsia="zh-CN"/>
              </w:rPr>
              <w:t>并处</w:t>
            </w:r>
            <w:r>
              <w:rPr>
                <w:rFonts w:hint="eastAsia" w:ascii="仿宋" w:hAnsi="仿宋" w:eastAsia="仿宋" w:cs="Arial"/>
                <w:color w:val="auto"/>
                <w:szCs w:val="21"/>
              </w:rPr>
              <w:t>吊销药品相关批准证明文件；吊销药品生产许可证等。</w:t>
            </w:r>
          </w:p>
          <w:p w14:paraId="4A40F547">
            <w:pPr>
              <w:widowControl/>
              <w:adjustRightInd w:val="0"/>
              <w:spacing w:line="260" w:lineRule="exact"/>
              <w:jc w:val="both"/>
              <w:rPr>
                <w:rFonts w:ascii="仿宋" w:hAnsi="仿宋" w:eastAsia="仿宋" w:cs="Arial"/>
                <w:color w:val="auto"/>
                <w:szCs w:val="21"/>
              </w:rPr>
            </w:pPr>
            <w:r>
              <w:rPr>
                <w:rFonts w:hint="eastAsia" w:ascii="仿宋" w:hAnsi="仿宋" w:eastAsia="仿宋" w:cs="Arial"/>
                <w:b/>
                <w:bCs/>
                <w:color w:val="auto"/>
                <w:szCs w:val="21"/>
              </w:rPr>
              <w:t>（二）对法定代表人、主要负责人、直接负责的主管人员和关键岗位人员以及其他责任人员的处罚：</w:t>
            </w:r>
          </w:p>
          <w:p w14:paraId="4F55C49E">
            <w:pPr>
              <w:widowControl/>
              <w:adjustRightInd w:val="0"/>
              <w:spacing w:line="26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494FAEF4">
            <w:pPr>
              <w:widowControl/>
              <w:adjustRightInd w:val="0"/>
              <w:spacing w:line="26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并处所获收入7.15以上10倍以下的罚款；</w:t>
            </w:r>
          </w:p>
          <w:p w14:paraId="36EA133C">
            <w:pPr>
              <w:widowControl/>
              <w:adjustRightInd w:val="0"/>
              <w:spacing w:line="260" w:lineRule="exact"/>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20年以上（不含本数）</w:t>
            </w:r>
            <w:r>
              <w:rPr>
                <w:rFonts w:hint="eastAsia" w:ascii="仿宋" w:hAnsi="仿宋" w:eastAsia="仿宋" w:cs="Arial"/>
                <w:color w:val="auto"/>
                <w:szCs w:val="21"/>
              </w:rPr>
              <w:t>直至终身禁止从事药品生产经营活动。</w:t>
            </w:r>
          </w:p>
        </w:tc>
      </w:tr>
    </w:tbl>
    <w:p w14:paraId="6D831E21">
      <w:pPr>
        <w:adjustRightInd w:val="0"/>
        <w:spacing w:line="180" w:lineRule="exact"/>
        <w:jc w:val="both"/>
        <w:rPr>
          <w:rFonts w:hint="eastAsia" w:ascii="仿宋" w:hAnsi="Times New Roman" w:eastAsia="仿宋" w:cs="Times New Roman"/>
          <w:color w:val="auto"/>
          <w:sz w:val="32"/>
          <w:szCs w:val="20"/>
        </w:rPr>
      </w:pPr>
    </w:p>
    <w:p w14:paraId="0E6D1890">
      <w:pPr>
        <w:adjustRightInd w:val="0"/>
        <w:spacing w:line="180" w:lineRule="exact"/>
        <w:jc w:val="both"/>
        <w:rPr>
          <w:rFonts w:hint="eastAsia" w:ascii="仿宋" w:hAnsi="Times New Roman" w:eastAsia="仿宋" w:cs="Times New Roman"/>
          <w:color w:val="auto"/>
          <w:sz w:val="32"/>
          <w:szCs w:val="20"/>
        </w:rPr>
      </w:pPr>
    </w:p>
    <w:p w14:paraId="10426C28">
      <w:pPr>
        <w:adjustRightInd w:val="0"/>
        <w:spacing w:line="180" w:lineRule="exact"/>
        <w:jc w:val="both"/>
        <w:rPr>
          <w:rFonts w:hint="eastAsia" w:ascii="仿宋" w:hAnsi="Times New Roman" w:eastAsia="仿宋" w:cs="Times New Roman"/>
          <w:color w:val="auto"/>
          <w:sz w:val="32"/>
          <w:szCs w:val="20"/>
        </w:rPr>
      </w:pPr>
    </w:p>
    <w:p w14:paraId="6F6B90E4">
      <w:pPr>
        <w:adjustRightInd w:val="0"/>
        <w:spacing w:line="180" w:lineRule="exact"/>
        <w:jc w:val="both"/>
        <w:rPr>
          <w:rFonts w:hint="eastAsia" w:ascii="仿宋" w:hAnsi="Times New Roman" w:eastAsia="仿宋" w:cs="Times New Roman"/>
          <w:color w:val="auto"/>
          <w:sz w:val="32"/>
          <w:szCs w:val="20"/>
        </w:rPr>
      </w:pPr>
    </w:p>
    <w:tbl>
      <w:tblPr>
        <w:tblStyle w:val="6"/>
        <w:tblW w:w="14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709"/>
        <w:gridCol w:w="4297"/>
        <w:gridCol w:w="3808"/>
        <w:gridCol w:w="4007"/>
      </w:tblGrid>
      <w:tr w14:paraId="1665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restart"/>
            <w:vAlign w:val="center"/>
          </w:tcPr>
          <w:p w14:paraId="53E3B26C">
            <w:pPr>
              <w:widowControl/>
              <w:adjustRightInd w:val="0"/>
              <w:snapToGrid w:val="0"/>
              <w:jc w:val="both"/>
              <w:rPr>
                <w:rFonts w:ascii="仿宋" w:hAnsi="仿宋" w:eastAsia="仿宋" w:cs="Arial"/>
                <w:b/>
                <w:color w:val="auto"/>
                <w:szCs w:val="21"/>
              </w:rPr>
            </w:pPr>
            <w:r>
              <w:rPr>
                <w:rFonts w:hint="eastAsia" w:ascii="仿宋" w:hAnsi="仿宋" w:eastAsia="仿宋" w:cs="宋体"/>
                <w:b/>
                <w:color w:val="auto"/>
                <w:szCs w:val="21"/>
              </w:rPr>
              <w:t>23</w:t>
            </w:r>
          </w:p>
        </w:tc>
        <w:tc>
          <w:tcPr>
            <w:tcW w:w="1417" w:type="dxa"/>
            <w:gridSpan w:val="2"/>
            <w:vAlign w:val="center"/>
          </w:tcPr>
          <w:p w14:paraId="0CE586D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112" w:type="dxa"/>
            <w:gridSpan w:val="3"/>
            <w:vAlign w:val="center"/>
          </w:tcPr>
          <w:p w14:paraId="45722EB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疫苗上市许可持有人或者其他单位违反药品相关质量管理规范且拒不改正的</w:t>
            </w:r>
          </w:p>
        </w:tc>
      </w:tr>
      <w:tr w14:paraId="5E90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534" w:type="dxa"/>
            <w:vMerge w:val="continue"/>
            <w:vAlign w:val="center"/>
          </w:tcPr>
          <w:p w14:paraId="3802EE3E">
            <w:pPr>
              <w:widowControl/>
              <w:adjustRightInd w:val="0"/>
              <w:snapToGrid w:val="0"/>
              <w:jc w:val="both"/>
              <w:rPr>
                <w:rFonts w:ascii="仿宋" w:hAnsi="仿宋" w:eastAsia="仿宋" w:cs="Arial"/>
                <w:color w:val="auto"/>
                <w:szCs w:val="21"/>
              </w:rPr>
            </w:pPr>
          </w:p>
        </w:tc>
        <w:tc>
          <w:tcPr>
            <w:tcW w:w="1417" w:type="dxa"/>
            <w:gridSpan w:val="2"/>
            <w:vAlign w:val="center"/>
          </w:tcPr>
          <w:p w14:paraId="3029092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112" w:type="dxa"/>
            <w:gridSpan w:val="3"/>
            <w:vAlign w:val="center"/>
          </w:tcPr>
          <w:p w14:paraId="0420789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w:t>
            </w:r>
            <w:r>
              <w:rPr>
                <w:rFonts w:hint="eastAsia" w:ascii="仿宋" w:hAnsi="仿宋" w:eastAsia="仿宋" w:cs="Arial"/>
                <w:b/>
                <w:bCs/>
                <w:color w:val="auto"/>
                <w:szCs w:val="21"/>
                <w:lang w:eastAsia="zh-CN"/>
              </w:rPr>
              <w:t>中华人民共和国疫苗管理法</w:t>
            </w:r>
            <w:r>
              <w:rPr>
                <w:rFonts w:hint="eastAsia" w:ascii="仿宋" w:hAnsi="仿宋" w:eastAsia="仿宋" w:cs="Arial"/>
                <w:b/>
                <w:bCs/>
                <w:color w:val="auto"/>
                <w:szCs w:val="21"/>
              </w:rPr>
              <w:t>》第八十二条：</w:t>
            </w:r>
            <w:r>
              <w:rPr>
                <w:rFonts w:hint="eastAsia" w:ascii="仿宋" w:hAnsi="仿宋" w:eastAsia="仿宋" w:cs="Arial"/>
                <w:color w:val="auto"/>
                <w:szCs w:val="21"/>
              </w:rPr>
              <w:t>除本法另有规定的情形外，疫苗上市许可持有人或者其他单位违反药品相关质量管理规范的，由县级以上人民政府药品监督管理部门责令改正，给予警告；拒不改正的，处二十万元以上五十万元以下的罚款；情节严重的，处五十万元以上三百万元以下的罚款，责令停产停业整顿，直至吊销药品相关批准证明文件、药品生产许可证等，对法定代表人、主要负责人、直接负责的主管人员和关键岗位人员以及其他责任人员，没收违法行为发生期间自本单位所获收入，并处所获收入百分之五十以上五倍以下的罚款，十年内直至终身禁止从事药品生产经营活动。</w:t>
            </w:r>
          </w:p>
        </w:tc>
      </w:tr>
      <w:tr w14:paraId="2448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continue"/>
            <w:vAlign w:val="center"/>
          </w:tcPr>
          <w:p w14:paraId="0B8BC606">
            <w:pPr>
              <w:widowControl/>
              <w:adjustRightInd w:val="0"/>
              <w:snapToGrid w:val="0"/>
              <w:jc w:val="both"/>
              <w:rPr>
                <w:rFonts w:ascii="仿宋" w:hAnsi="仿宋" w:eastAsia="仿宋" w:cs="Arial"/>
                <w:color w:val="auto"/>
                <w:szCs w:val="21"/>
              </w:rPr>
            </w:pPr>
          </w:p>
        </w:tc>
        <w:tc>
          <w:tcPr>
            <w:tcW w:w="1417" w:type="dxa"/>
            <w:gridSpan w:val="2"/>
            <w:vAlign w:val="center"/>
          </w:tcPr>
          <w:p w14:paraId="409D707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4297" w:type="dxa"/>
            <w:vAlign w:val="center"/>
          </w:tcPr>
          <w:p w14:paraId="6163433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3808" w:type="dxa"/>
            <w:vAlign w:val="center"/>
          </w:tcPr>
          <w:p w14:paraId="3B5081B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4007" w:type="dxa"/>
            <w:vAlign w:val="center"/>
          </w:tcPr>
          <w:p w14:paraId="63D4EE9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099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continue"/>
            <w:vAlign w:val="center"/>
          </w:tcPr>
          <w:p w14:paraId="64DA1DB8">
            <w:pPr>
              <w:widowControl/>
              <w:adjustRightInd w:val="0"/>
              <w:snapToGrid w:val="0"/>
              <w:jc w:val="both"/>
              <w:rPr>
                <w:rFonts w:ascii="仿宋" w:hAnsi="仿宋" w:eastAsia="仿宋" w:cs="Arial"/>
                <w:color w:val="auto"/>
                <w:szCs w:val="21"/>
              </w:rPr>
            </w:pPr>
          </w:p>
        </w:tc>
        <w:tc>
          <w:tcPr>
            <w:tcW w:w="1417" w:type="dxa"/>
            <w:gridSpan w:val="2"/>
            <w:vAlign w:val="center"/>
          </w:tcPr>
          <w:p w14:paraId="57C56EB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4297" w:type="dxa"/>
            <w:vAlign w:val="center"/>
          </w:tcPr>
          <w:p w14:paraId="5E794DB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808" w:type="dxa"/>
            <w:vAlign w:val="center"/>
          </w:tcPr>
          <w:p w14:paraId="50DE2772">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4007" w:type="dxa"/>
            <w:vAlign w:val="center"/>
          </w:tcPr>
          <w:p w14:paraId="4F3F3FF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6DE0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continue"/>
            <w:vAlign w:val="center"/>
          </w:tcPr>
          <w:p w14:paraId="465E5A29">
            <w:pPr>
              <w:widowControl/>
              <w:adjustRightInd w:val="0"/>
              <w:snapToGrid w:val="0"/>
              <w:jc w:val="both"/>
              <w:rPr>
                <w:rFonts w:ascii="仿宋" w:hAnsi="仿宋" w:eastAsia="仿宋" w:cs="Arial"/>
                <w:color w:val="auto"/>
                <w:szCs w:val="21"/>
              </w:rPr>
            </w:pPr>
          </w:p>
        </w:tc>
        <w:tc>
          <w:tcPr>
            <w:tcW w:w="708" w:type="dxa"/>
            <w:vMerge w:val="restart"/>
            <w:vAlign w:val="center"/>
          </w:tcPr>
          <w:p w14:paraId="7B9779C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w:t>
            </w:r>
          </w:p>
          <w:p w14:paraId="79FA3DA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基准</w:t>
            </w:r>
          </w:p>
        </w:tc>
        <w:tc>
          <w:tcPr>
            <w:tcW w:w="709" w:type="dxa"/>
            <w:vMerge w:val="restart"/>
            <w:vAlign w:val="center"/>
          </w:tcPr>
          <w:p w14:paraId="592A7D4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p w14:paraId="2692C47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情形</w:t>
            </w:r>
          </w:p>
        </w:tc>
        <w:tc>
          <w:tcPr>
            <w:tcW w:w="4297" w:type="dxa"/>
            <w:vAlign w:val="center"/>
          </w:tcPr>
          <w:p w14:paraId="6B07981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责令改正，给予警告。</w:t>
            </w:r>
          </w:p>
        </w:tc>
        <w:tc>
          <w:tcPr>
            <w:tcW w:w="3808" w:type="dxa"/>
            <w:vAlign w:val="center"/>
          </w:tcPr>
          <w:p w14:paraId="64D0182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责令改正，给予警告。</w:t>
            </w:r>
          </w:p>
        </w:tc>
        <w:tc>
          <w:tcPr>
            <w:tcW w:w="4007" w:type="dxa"/>
            <w:vAlign w:val="center"/>
          </w:tcPr>
          <w:p w14:paraId="5AAF31D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责令改正，给予警告。</w:t>
            </w:r>
          </w:p>
        </w:tc>
      </w:tr>
      <w:tr w14:paraId="7F55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continue"/>
            <w:vAlign w:val="center"/>
          </w:tcPr>
          <w:p w14:paraId="0DEB1AFB">
            <w:pPr>
              <w:widowControl/>
              <w:adjustRightInd w:val="0"/>
              <w:snapToGrid w:val="0"/>
              <w:jc w:val="both"/>
              <w:rPr>
                <w:rFonts w:ascii="仿宋" w:hAnsi="仿宋" w:eastAsia="仿宋" w:cs="Arial"/>
                <w:color w:val="auto"/>
                <w:szCs w:val="21"/>
              </w:rPr>
            </w:pPr>
          </w:p>
        </w:tc>
        <w:tc>
          <w:tcPr>
            <w:tcW w:w="708" w:type="dxa"/>
            <w:vMerge w:val="continue"/>
            <w:vAlign w:val="center"/>
          </w:tcPr>
          <w:p w14:paraId="20754ADD">
            <w:pPr>
              <w:widowControl/>
              <w:adjustRightInd w:val="0"/>
              <w:snapToGrid w:val="0"/>
              <w:jc w:val="both"/>
              <w:rPr>
                <w:rFonts w:ascii="仿宋" w:hAnsi="仿宋" w:eastAsia="仿宋" w:cs="Arial"/>
                <w:color w:val="auto"/>
                <w:szCs w:val="21"/>
              </w:rPr>
            </w:pPr>
          </w:p>
        </w:tc>
        <w:tc>
          <w:tcPr>
            <w:tcW w:w="709" w:type="dxa"/>
            <w:vMerge w:val="continue"/>
            <w:vAlign w:val="center"/>
          </w:tcPr>
          <w:p w14:paraId="2DD4EBA7">
            <w:pPr>
              <w:widowControl/>
              <w:adjustRightInd w:val="0"/>
              <w:snapToGrid w:val="0"/>
              <w:jc w:val="both"/>
              <w:rPr>
                <w:rFonts w:ascii="仿宋" w:hAnsi="仿宋" w:eastAsia="仿宋" w:cs="Arial"/>
                <w:color w:val="auto"/>
                <w:szCs w:val="21"/>
              </w:rPr>
            </w:pPr>
          </w:p>
        </w:tc>
        <w:tc>
          <w:tcPr>
            <w:tcW w:w="4297" w:type="dxa"/>
            <w:vAlign w:val="center"/>
          </w:tcPr>
          <w:p w14:paraId="772935E9">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拒不改正的，处20万元以上29万元以下的罚款。</w:t>
            </w:r>
          </w:p>
        </w:tc>
        <w:tc>
          <w:tcPr>
            <w:tcW w:w="3808" w:type="dxa"/>
            <w:vAlign w:val="center"/>
          </w:tcPr>
          <w:p w14:paraId="7FF1343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拒不改正的，处29万元以上41万元以下的罚款。</w:t>
            </w:r>
          </w:p>
        </w:tc>
        <w:tc>
          <w:tcPr>
            <w:tcW w:w="4007" w:type="dxa"/>
            <w:vAlign w:val="center"/>
          </w:tcPr>
          <w:p w14:paraId="703E03B6">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拒不改正的，处41万元以上50万元以下的罚款。</w:t>
            </w:r>
          </w:p>
        </w:tc>
      </w:tr>
      <w:tr w14:paraId="1D9E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7" w:hRule="atLeast"/>
          <w:jc w:val="center"/>
        </w:trPr>
        <w:tc>
          <w:tcPr>
            <w:tcW w:w="534" w:type="dxa"/>
            <w:vMerge w:val="continue"/>
            <w:vAlign w:val="center"/>
          </w:tcPr>
          <w:p w14:paraId="76E72526">
            <w:pPr>
              <w:widowControl/>
              <w:adjustRightInd w:val="0"/>
              <w:snapToGrid w:val="0"/>
              <w:jc w:val="both"/>
              <w:rPr>
                <w:rFonts w:ascii="仿宋" w:hAnsi="仿宋" w:eastAsia="仿宋" w:cs="Arial"/>
                <w:color w:val="auto"/>
                <w:szCs w:val="21"/>
              </w:rPr>
            </w:pPr>
          </w:p>
        </w:tc>
        <w:tc>
          <w:tcPr>
            <w:tcW w:w="708" w:type="dxa"/>
            <w:vMerge w:val="continue"/>
            <w:vAlign w:val="center"/>
          </w:tcPr>
          <w:p w14:paraId="3528025E">
            <w:pPr>
              <w:widowControl/>
              <w:adjustRightInd w:val="0"/>
              <w:snapToGrid w:val="0"/>
              <w:jc w:val="both"/>
              <w:rPr>
                <w:rFonts w:ascii="仿宋" w:hAnsi="仿宋" w:eastAsia="仿宋" w:cs="Arial"/>
                <w:color w:val="auto"/>
                <w:szCs w:val="21"/>
              </w:rPr>
            </w:pPr>
          </w:p>
        </w:tc>
        <w:tc>
          <w:tcPr>
            <w:tcW w:w="709" w:type="dxa"/>
            <w:vAlign w:val="center"/>
          </w:tcPr>
          <w:p w14:paraId="2DC87AB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w:t>
            </w:r>
          </w:p>
          <w:p w14:paraId="38A4C07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严重</w:t>
            </w:r>
          </w:p>
        </w:tc>
        <w:tc>
          <w:tcPr>
            <w:tcW w:w="4297" w:type="dxa"/>
            <w:vAlign w:val="center"/>
          </w:tcPr>
          <w:p w14:paraId="205D25E1">
            <w:pPr>
              <w:widowControl/>
              <w:adjustRightInd w:val="0"/>
              <w:snapToGrid w:val="0"/>
              <w:jc w:val="both"/>
              <w:rPr>
                <w:rFonts w:ascii="仿宋" w:hAnsi="仿宋" w:eastAsia="仿宋" w:cs="Arial"/>
                <w:color w:val="auto"/>
                <w:szCs w:val="21"/>
              </w:rPr>
            </w:pPr>
            <w:r>
              <w:rPr>
                <w:rFonts w:hint="eastAsia" w:ascii="仿宋" w:hAnsi="仿宋" w:eastAsia="仿宋" w:cs="Arial"/>
                <w:b w:val="0"/>
                <w:bCs w:val="0"/>
                <w:color w:val="auto"/>
                <w:szCs w:val="21"/>
              </w:rPr>
              <w:t>（一）对单位的处罚：</w:t>
            </w:r>
          </w:p>
          <w:p w14:paraId="53C010F4">
            <w:pPr>
              <w:widowControl/>
              <w:adjustRightInd w:val="0"/>
              <w:snapToGrid w:val="0"/>
              <w:jc w:val="both"/>
              <w:rPr>
                <w:rFonts w:ascii="仿宋" w:hAnsi="仿宋" w:eastAsia="仿宋" w:cs="Arial"/>
                <w:color w:val="auto"/>
                <w:szCs w:val="21"/>
              </w:rPr>
            </w:pPr>
            <w:r>
              <w:rPr>
                <w:rFonts w:hint="eastAsia" w:ascii="仿宋" w:hAnsi="仿宋" w:eastAsia="仿宋" w:cs="Arial"/>
                <w:b w:val="0"/>
                <w:bCs w:val="0"/>
                <w:color w:val="auto"/>
                <w:szCs w:val="21"/>
              </w:rPr>
              <w:t>1.</w:t>
            </w:r>
            <w:r>
              <w:rPr>
                <w:rFonts w:hint="eastAsia" w:ascii="仿宋" w:hAnsi="仿宋" w:eastAsia="仿宋" w:cs="Arial"/>
                <w:color w:val="auto"/>
                <w:szCs w:val="21"/>
              </w:rPr>
              <w:t>处50万元以上125万元以下的罚款；</w:t>
            </w:r>
          </w:p>
          <w:p w14:paraId="219E6206">
            <w:pPr>
              <w:widowControl/>
              <w:adjustRightInd w:val="0"/>
              <w:snapToGrid w:val="0"/>
              <w:jc w:val="both"/>
              <w:rPr>
                <w:rFonts w:ascii="仿宋" w:hAnsi="仿宋" w:eastAsia="仿宋" w:cs="Arial"/>
                <w:color w:val="auto"/>
                <w:szCs w:val="21"/>
              </w:rPr>
            </w:pPr>
            <w:r>
              <w:rPr>
                <w:rFonts w:hint="eastAsia" w:ascii="仿宋" w:hAnsi="仿宋" w:eastAsia="仿宋" w:cs="Arial"/>
                <w:b w:val="0"/>
                <w:bCs w:val="0"/>
                <w:color w:val="auto"/>
                <w:szCs w:val="21"/>
              </w:rPr>
              <w:t>2.</w:t>
            </w:r>
            <w:r>
              <w:rPr>
                <w:rFonts w:hint="eastAsia" w:ascii="仿宋" w:hAnsi="仿宋" w:eastAsia="仿宋" w:cs="Arial"/>
                <w:color w:val="auto"/>
                <w:szCs w:val="21"/>
              </w:rPr>
              <w:t>责令停产停业整顿；</w:t>
            </w:r>
          </w:p>
          <w:p w14:paraId="2CFD1DB6">
            <w:pPr>
              <w:widowControl/>
              <w:adjustRightInd w:val="0"/>
              <w:snapToGrid w:val="0"/>
              <w:jc w:val="both"/>
              <w:rPr>
                <w:rFonts w:hint="eastAsia" w:ascii="仿宋" w:hAnsi="仿宋" w:eastAsia="仿宋" w:cs="Arial"/>
                <w:color w:val="auto"/>
                <w:szCs w:val="21"/>
              </w:rPr>
            </w:pPr>
            <w:r>
              <w:rPr>
                <w:rFonts w:hint="eastAsia" w:ascii="仿宋" w:hAnsi="仿宋" w:eastAsia="仿宋" w:cs="Arial"/>
                <w:b w:val="0"/>
                <w:bCs w:val="0"/>
                <w:color w:val="auto"/>
                <w:szCs w:val="21"/>
              </w:rPr>
              <w:t>3.</w:t>
            </w:r>
            <w:r>
              <w:rPr>
                <w:rFonts w:hint="eastAsia" w:ascii="仿宋" w:hAnsi="仿宋" w:eastAsia="仿宋" w:cs="Arial"/>
                <w:color w:val="auto"/>
                <w:szCs w:val="21"/>
              </w:rPr>
              <w:t>吊销药品相关批准证明文件、药品生产许可证等。</w:t>
            </w:r>
          </w:p>
          <w:p w14:paraId="06BA90C3">
            <w:pPr>
              <w:widowControl/>
              <w:adjustRightInd w:val="0"/>
              <w:snapToGrid w:val="0"/>
              <w:jc w:val="both"/>
              <w:rPr>
                <w:rFonts w:ascii="仿宋" w:hAnsi="仿宋" w:eastAsia="仿宋" w:cs="Arial"/>
                <w:color w:val="auto"/>
                <w:szCs w:val="21"/>
              </w:rPr>
            </w:pPr>
            <w:r>
              <w:rPr>
                <w:rFonts w:hint="eastAsia" w:ascii="仿宋" w:hAnsi="仿宋" w:eastAsia="仿宋" w:cs="Arial"/>
                <w:b w:val="0"/>
                <w:bCs w:val="0"/>
                <w:color w:val="auto"/>
                <w:szCs w:val="21"/>
              </w:rPr>
              <w:t>（二）对责任人的处罚：</w:t>
            </w:r>
          </w:p>
          <w:p w14:paraId="4374090D">
            <w:pPr>
              <w:widowControl/>
              <w:adjustRightInd w:val="0"/>
              <w:snapToGrid w:val="0"/>
              <w:jc w:val="both"/>
              <w:rPr>
                <w:rFonts w:ascii="仿宋" w:hAnsi="仿宋" w:eastAsia="仿宋" w:cs="Arial"/>
                <w:color w:val="auto"/>
                <w:szCs w:val="21"/>
              </w:rPr>
            </w:pPr>
            <w:r>
              <w:rPr>
                <w:rFonts w:hint="eastAsia" w:ascii="仿宋" w:hAnsi="仿宋" w:eastAsia="仿宋" w:cs="Arial"/>
                <w:b w:val="0"/>
                <w:bCs w:val="0"/>
                <w:color w:val="auto"/>
                <w:szCs w:val="21"/>
              </w:rPr>
              <w:t>1</w:t>
            </w:r>
            <w:r>
              <w:rPr>
                <w:rFonts w:hint="eastAsia" w:ascii="仿宋" w:hAnsi="仿宋" w:eastAsia="仿宋" w:cs="Arial"/>
                <w:color w:val="auto"/>
                <w:szCs w:val="21"/>
              </w:rPr>
              <w:t>.没收违法行为发生期间自本单位所获收入；</w:t>
            </w:r>
          </w:p>
          <w:p w14:paraId="2EF2BB0D">
            <w:pPr>
              <w:widowControl/>
              <w:adjustRightInd w:val="0"/>
              <w:snapToGrid w:val="0"/>
              <w:jc w:val="both"/>
              <w:rPr>
                <w:rFonts w:ascii="仿宋" w:hAnsi="仿宋" w:eastAsia="仿宋" w:cs="Arial"/>
                <w:color w:val="auto"/>
                <w:szCs w:val="21"/>
              </w:rPr>
            </w:pPr>
            <w:r>
              <w:rPr>
                <w:rFonts w:hint="eastAsia" w:ascii="仿宋" w:hAnsi="仿宋" w:eastAsia="仿宋" w:cs="Arial"/>
                <w:b w:val="0"/>
                <w:bCs w:val="0"/>
                <w:color w:val="auto"/>
                <w:szCs w:val="21"/>
              </w:rPr>
              <w:t>2.</w:t>
            </w:r>
            <w:r>
              <w:rPr>
                <w:rFonts w:hint="eastAsia" w:ascii="仿宋" w:hAnsi="仿宋" w:eastAsia="仿宋" w:cs="Arial"/>
                <w:color w:val="auto"/>
                <w:szCs w:val="21"/>
              </w:rPr>
              <w:t>并处所获收入50%以上1.85倍以下的罚款；</w:t>
            </w:r>
          </w:p>
          <w:p w14:paraId="1E872688">
            <w:pPr>
              <w:widowControl/>
              <w:adjustRightInd w:val="0"/>
              <w:snapToGrid w:val="0"/>
              <w:jc w:val="both"/>
              <w:rPr>
                <w:rFonts w:ascii="仿宋" w:hAnsi="仿宋" w:eastAsia="仿宋" w:cs="Arial"/>
                <w:color w:val="auto"/>
                <w:szCs w:val="21"/>
              </w:rPr>
            </w:pPr>
            <w:r>
              <w:rPr>
                <w:rFonts w:hint="eastAsia" w:ascii="仿宋" w:hAnsi="仿宋" w:eastAsia="仿宋" w:cs="Arial"/>
                <w:b w:val="0"/>
                <w:bCs w:val="0"/>
                <w:color w:val="auto"/>
                <w:szCs w:val="21"/>
              </w:rPr>
              <w:t>3.</w:t>
            </w:r>
            <w:r>
              <w:rPr>
                <w:rFonts w:hint="eastAsia" w:ascii="仿宋" w:hAnsi="仿宋" w:eastAsia="仿宋" w:cs="Arial"/>
                <w:color w:val="auto"/>
                <w:szCs w:val="21"/>
              </w:rPr>
              <w:t>10年内禁止从事药品生产经营活动。</w:t>
            </w:r>
          </w:p>
        </w:tc>
        <w:tc>
          <w:tcPr>
            <w:tcW w:w="3808" w:type="dxa"/>
            <w:vAlign w:val="center"/>
          </w:tcPr>
          <w:p w14:paraId="005873C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（一）对单位的处罚：</w:t>
            </w:r>
          </w:p>
          <w:p w14:paraId="01E123E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处125万元以上225万元以下的罚款；</w:t>
            </w:r>
          </w:p>
          <w:p w14:paraId="0A95C6F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b w:val="0"/>
                <w:bCs w:val="0"/>
                <w:color w:val="auto"/>
                <w:szCs w:val="21"/>
              </w:rPr>
              <w:t>.</w:t>
            </w:r>
            <w:r>
              <w:rPr>
                <w:rFonts w:hint="eastAsia" w:ascii="仿宋" w:hAnsi="仿宋" w:eastAsia="仿宋" w:cs="Arial"/>
                <w:color w:val="auto"/>
                <w:szCs w:val="21"/>
              </w:rPr>
              <w:t>责令停产停业整顿；</w:t>
            </w:r>
          </w:p>
          <w:p w14:paraId="26073C56">
            <w:pPr>
              <w:widowControl/>
              <w:adjustRightInd w:val="0"/>
              <w:snapToGrid w:val="0"/>
              <w:jc w:val="both"/>
              <w:rPr>
                <w:rFonts w:hint="eastAsia" w:ascii="仿宋" w:hAnsi="仿宋" w:eastAsia="仿宋" w:cs="Arial"/>
                <w:color w:val="auto"/>
                <w:szCs w:val="21"/>
              </w:rPr>
            </w:pPr>
            <w:r>
              <w:rPr>
                <w:rFonts w:hint="eastAsia" w:ascii="仿宋" w:hAnsi="仿宋" w:eastAsia="仿宋" w:cs="Arial"/>
                <w:b w:val="0"/>
                <w:bCs w:val="0"/>
                <w:color w:val="auto"/>
                <w:szCs w:val="21"/>
              </w:rPr>
              <w:t>3.</w:t>
            </w:r>
            <w:r>
              <w:rPr>
                <w:rFonts w:hint="eastAsia" w:ascii="仿宋" w:hAnsi="仿宋" w:eastAsia="仿宋" w:cs="Arial"/>
                <w:color w:val="auto"/>
                <w:szCs w:val="21"/>
              </w:rPr>
              <w:t>吊销药品相关批准证明文件、药品生产许可证等。</w:t>
            </w:r>
          </w:p>
          <w:p w14:paraId="244D70D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（二）对责任人的处罚：</w:t>
            </w:r>
          </w:p>
          <w:p w14:paraId="7AE4A22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05906C8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并处所获收入1.85倍以上3.65倍以下的罚款；</w:t>
            </w:r>
          </w:p>
          <w:p w14:paraId="6E96979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10年以上（不含本数）20年以内（含本数）</w:t>
            </w:r>
            <w:r>
              <w:rPr>
                <w:rFonts w:hint="eastAsia" w:ascii="仿宋" w:hAnsi="仿宋" w:eastAsia="仿宋" w:cs="Arial"/>
                <w:color w:val="auto"/>
                <w:szCs w:val="21"/>
              </w:rPr>
              <w:t>禁止从事药品生产经营活动。</w:t>
            </w:r>
          </w:p>
        </w:tc>
        <w:tc>
          <w:tcPr>
            <w:tcW w:w="4007" w:type="dxa"/>
            <w:vAlign w:val="center"/>
          </w:tcPr>
          <w:p w14:paraId="467C51A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（一）对单位的处罚：</w:t>
            </w:r>
          </w:p>
          <w:p w14:paraId="6D580BF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处225万元以上300万元以下的罚款；</w:t>
            </w:r>
          </w:p>
          <w:p w14:paraId="1CAF043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14:paraId="003D93A1">
            <w:pPr>
              <w:widowControl/>
              <w:adjustRightInd w:val="0"/>
              <w:snapToGrid w:val="0"/>
              <w:jc w:val="both"/>
              <w:rPr>
                <w:rFonts w:hint="eastAsia" w:ascii="仿宋" w:hAnsi="仿宋" w:eastAsia="仿宋" w:cs="Arial"/>
                <w:color w:val="auto"/>
                <w:szCs w:val="21"/>
              </w:rPr>
            </w:pPr>
            <w:r>
              <w:rPr>
                <w:rFonts w:hint="eastAsia" w:ascii="仿宋" w:hAnsi="仿宋" w:eastAsia="仿宋" w:cs="Arial"/>
                <w:b w:val="0"/>
                <w:bCs w:val="0"/>
                <w:color w:val="auto"/>
                <w:szCs w:val="21"/>
              </w:rPr>
              <w:t>3.</w:t>
            </w:r>
            <w:r>
              <w:rPr>
                <w:rFonts w:hint="eastAsia" w:ascii="仿宋" w:hAnsi="仿宋" w:eastAsia="仿宋" w:cs="Arial"/>
                <w:color w:val="auto"/>
                <w:szCs w:val="21"/>
              </w:rPr>
              <w:t>吊销药品相关批准证明文件、药品生产许可证等。</w:t>
            </w:r>
          </w:p>
          <w:p w14:paraId="5423A76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（二）对责任人的处罚：</w:t>
            </w:r>
          </w:p>
          <w:p w14:paraId="083F96B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11FA855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并处所获收入3.65倍以上5倍以下的罚款；</w:t>
            </w:r>
          </w:p>
          <w:p w14:paraId="71799B9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20年以上（不含本数）</w:t>
            </w:r>
            <w:r>
              <w:rPr>
                <w:rFonts w:hint="eastAsia" w:ascii="仿宋" w:hAnsi="仿宋" w:eastAsia="仿宋" w:cs="Arial"/>
                <w:color w:val="auto"/>
                <w:szCs w:val="21"/>
              </w:rPr>
              <w:t>直至终身禁止从事药品生产经营活动。</w:t>
            </w:r>
          </w:p>
        </w:tc>
      </w:tr>
    </w:tbl>
    <w:p w14:paraId="33468D47">
      <w:pPr>
        <w:widowControl/>
        <w:tabs>
          <w:tab w:val="left" w:pos="585"/>
          <w:tab w:val="left" w:pos="1498"/>
          <w:tab w:val="left" w:pos="2342"/>
          <w:tab w:val="left" w:pos="6248"/>
          <w:tab w:val="left" w:pos="10056"/>
        </w:tabs>
        <w:adjustRightInd w:val="0"/>
        <w:snapToGrid w:val="0"/>
        <w:jc w:val="both"/>
        <w:rPr>
          <w:rFonts w:ascii="仿宋" w:hAnsi="仿宋" w:eastAsia="仿宋" w:cs="Arial"/>
          <w:b/>
          <w:bCs/>
          <w:color w:val="auto"/>
          <w:szCs w:val="21"/>
        </w:rPr>
      </w:pPr>
    </w:p>
    <w:tbl>
      <w:tblPr>
        <w:tblStyle w:val="6"/>
        <w:tblW w:w="14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721"/>
        <w:gridCol w:w="722"/>
        <w:gridCol w:w="4101"/>
        <w:gridCol w:w="2894"/>
        <w:gridCol w:w="5090"/>
      </w:tblGrid>
      <w:tr w14:paraId="24DA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5" w:type="dxa"/>
            <w:vMerge w:val="restart"/>
            <w:vAlign w:val="center"/>
          </w:tcPr>
          <w:p w14:paraId="0160D2F2">
            <w:pPr>
              <w:widowControl/>
              <w:adjustRightInd w:val="0"/>
              <w:snapToGrid w:val="0"/>
              <w:jc w:val="both"/>
              <w:rPr>
                <w:rFonts w:ascii="仿宋" w:hAnsi="仿宋" w:eastAsia="仿宋" w:cs="Arial"/>
                <w:b/>
                <w:color w:val="auto"/>
                <w:szCs w:val="21"/>
              </w:rPr>
            </w:pPr>
            <w:r>
              <w:rPr>
                <w:rFonts w:hint="eastAsia" w:ascii="仿宋" w:hAnsi="仿宋" w:eastAsia="仿宋" w:cs="宋体"/>
                <w:b/>
                <w:color w:val="auto"/>
                <w:szCs w:val="21"/>
              </w:rPr>
              <w:t>24</w:t>
            </w:r>
          </w:p>
        </w:tc>
        <w:tc>
          <w:tcPr>
            <w:tcW w:w="1443" w:type="dxa"/>
            <w:gridSpan w:val="2"/>
            <w:vAlign w:val="center"/>
          </w:tcPr>
          <w:p w14:paraId="64E1C3C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085" w:type="dxa"/>
            <w:gridSpan w:val="3"/>
            <w:vAlign w:val="center"/>
          </w:tcPr>
          <w:p w14:paraId="7A157F3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违反《</w:t>
            </w:r>
            <w:r>
              <w:rPr>
                <w:rFonts w:hint="eastAsia" w:ascii="仿宋" w:hAnsi="仿宋" w:eastAsia="仿宋" w:cs="Arial"/>
                <w:b/>
                <w:bCs/>
                <w:color w:val="auto"/>
                <w:szCs w:val="21"/>
                <w:lang w:eastAsia="zh-CN"/>
              </w:rPr>
              <w:t>中华人民共和国疫苗管理法</w:t>
            </w:r>
            <w:r>
              <w:rPr>
                <w:rFonts w:hint="eastAsia" w:ascii="仿宋" w:hAnsi="仿宋" w:eastAsia="仿宋" w:cs="Arial"/>
                <w:b/>
                <w:bCs/>
                <w:color w:val="auto"/>
                <w:szCs w:val="21"/>
              </w:rPr>
              <w:t>》第八十三条的行为且拒不改正的</w:t>
            </w:r>
          </w:p>
        </w:tc>
      </w:tr>
      <w:tr w14:paraId="2138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5" w:hRule="atLeast"/>
          <w:jc w:val="center"/>
        </w:trPr>
        <w:tc>
          <w:tcPr>
            <w:tcW w:w="535" w:type="dxa"/>
            <w:vMerge w:val="continue"/>
            <w:vAlign w:val="center"/>
          </w:tcPr>
          <w:p w14:paraId="11F5EEA4">
            <w:pPr>
              <w:widowControl/>
              <w:adjustRightInd w:val="0"/>
              <w:snapToGrid w:val="0"/>
              <w:jc w:val="both"/>
              <w:rPr>
                <w:rFonts w:ascii="仿宋" w:hAnsi="仿宋" w:eastAsia="仿宋" w:cs="Arial"/>
                <w:color w:val="auto"/>
                <w:szCs w:val="21"/>
              </w:rPr>
            </w:pPr>
          </w:p>
        </w:tc>
        <w:tc>
          <w:tcPr>
            <w:tcW w:w="1443" w:type="dxa"/>
            <w:gridSpan w:val="2"/>
            <w:vAlign w:val="center"/>
          </w:tcPr>
          <w:p w14:paraId="01E527B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085" w:type="dxa"/>
            <w:gridSpan w:val="3"/>
            <w:vAlign w:val="center"/>
          </w:tcPr>
          <w:p w14:paraId="0A07829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w:t>
            </w:r>
            <w:r>
              <w:rPr>
                <w:rFonts w:hint="eastAsia" w:ascii="仿宋" w:hAnsi="仿宋" w:eastAsia="仿宋" w:cs="Arial"/>
                <w:b/>
                <w:bCs/>
                <w:color w:val="auto"/>
                <w:szCs w:val="21"/>
                <w:lang w:eastAsia="zh-CN"/>
              </w:rPr>
              <w:t>中华人民共和国疫苗管理法</w:t>
            </w:r>
            <w:r>
              <w:rPr>
                <w:rFonts w:hint="eastAsia" w:ascii="仿宋" w:hAnsi="仿宋" w:eastAsia="仿宋" w:cs="Arial"/>
                <w:b/>
                <w:bCs/>
                <w:color w:val="auto"/>
                <w:szCs w:val="21"/>
              </w:rPr>
              <w:t>》第八十三条：</w:t>
            </w:r>
            <w:r>
              <w:rPr>
                <w:rFonts w:hint="eastAsia" w:ascii="仿宋" w:hAnsi="仿宋" w:eastAsia="仿宋" w:cs="Arial"/>
                <w:color w:val="auto"/>
                <w:szCs w:val="21"/>
              </w:rPr>
              <w:t>违反本法规定，疫苗上市许可持有人有下列情形之一的，由省级以上人民政府药品监督管理部门责令改正，给予警告；拒不改正的，处二十万元以上五十万元以下的罚款；情节严重的，责令停产停业整顿，并处五十万元以上二百万元以下的罚款：</w:t>
            </w:r>
          </w:p>
          <w:p w14:paraId="4C670E9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（一）未按照规定建立疫苗电子追溯系统；</w:t>
            </w:r>
          </w:p>
          <w:p w14:paraId="3E908B2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（二）法定代表人、主要负责人和生产管理负责人、质量管理负责人、质量受权人等关键岗位人员不符合规定条件或者未按照规定对其进行培训、考核；</w:t>
            </w:r>
          </w:p>
          <w:p w14:paraId="7F82DD45">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（三）未按照规定报告或者备案；</w:t>
            </w:r>
          </w:p>
          <w:p w14:paraId="462975E9">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（四）未按照规定开展上市后研究，或者未按照规定设立机构、配备人员主动收集、跟踪分析疑似预防接种异常反应；</w:t>
            </w:r>
          </w:p>
          <w:p w14:paraId="665A0242">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（五）未按照规定投保疫苗责任强制保险；</w:t>
            </w:r>
          </w:p>
          <w:p w14:paraId="6D1575E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（六）未按照规定建立信息公开制度。</w:t>
            </w:r>
          </w:p>
        </w:tc>
      </w:tr>
      <w:tr w14:paraId="34EB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5" w:type="dxa"/>
            <w:vMerge w:val="continue"/>
            <w:vAlign w:val="center"/>
          </w:tcPr>
          <w:p w14:paraId="5B62BD88">
            <w:pPr>
              <w:widowControl/>
              <w:adjustRightInd w:val="0"/>
              <w:snapToGrid w:val="0"/>
              <w:jc w:val="both"/>
              <w:rPr>
                <w:rFonts w:ascii="仿宋" w:hAnsi="仿宋" w:eastAsia="仿宋" w:cs="Arial"/>
                <w:color w:val="auto"/>
                <w:szCs w:val="21"/>
              </w:rPr>
            </w:pPr>
          </w:p>
        </w:tc>
        <w:tc>
          <w:tcPr>
            <w:tcW w:w="1443" w:type="dxa"/>
            <w:gridSpan w:val="2"/>
            <w:vAlign w:val="center"/>
          </w:tcPr>
          <w:p w14:paraId="4C616A1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4101" w:type="dxa"/>
            <w:vAlign w:val="center"/>
          </w:tcPr>
          <w:p w14:paraId="36D9D67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894" w:type="dxa"/>
            <w:vAlign w:val="center"/>
          </w:tcPr>
          <w:p w14:paraId="05ED328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5090" w:type="dxa"/>
            <w:vAlign w:val="center"/>
          </w:tcPr>
          <w:p w14:paraId="77E14DE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2304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535" w:type="dxa"/>
            <w:vMerge w:val="continue"/>
            <w:vAlign w:val="center"/>
          </w:tcPr>
          <w:p w14:paraId="44E9CA6B">
            <w:pPr>
              <w:widowControl/>
              <w:adjustRightInd w:val="0"/>
              <w:snapToGrid w:val="0"/>
              <w:jc w:val="both"/>
              <w:rPr>
                <w:rFonts w:ascii="仿宋" w:hAnsi="仿宋" w:eastAsia="仿宋" w:cs="Arial"/>
                <w:color w:val="auto"/>
                <w:szCs w:val="21"/>
              </w:rPr>
            </w:pPr>
          </w:p>
        </w:tc>
        <w:tc>
          <w:tcPr>
            <w:tcW w:w="1443" w:type="dxa"/>
            <w:gridSpan w:val="2"/>
            <w:vAlign w:val="center"/>
          </w:tcPr>
          <w:p w14:paraId="41E52D8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4101" w:type="dxa"/>
            <w:vAlign w:val="center"/>
          </w:tcPr>
          <w:p w14:paraId="1B4C4C6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（一）初次实施涉案违法行为，危害后果轻微的；</w:t>
            </w:r>
          </w:p>
          <w:p w14:paraId="5630E755">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894" w:type="dxa"/>
            <w:vAlign w:val="center"/>
          </w:tcPr>
          <w:p w14:paraId="21AC7B1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5090" w:type="dxa"/>
            <w:vAlign w:val="center"/>
          </w:tcPr>
          <w:p w14:paraId="284B8A4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4F7B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35" w:type="dxa"/>
            <w:vMerge w:val="continue"/>
            <w:vAlign w:val="center"/>
          </w:tcPr>
          <w:p w14:paraId="56F91C64">
            <w:pPr>
              <w:widowControl/>
              <w:adjustRightInd w:val="0"/>
              <w:snapToGrid w:val="0"/>
              <w:jc w:val="both"/>
              <w:rPr>
                <w:rFonts w:ascii="仿宋" w:hAnsi="仿宋" w:eastAsia="仿宋" w:cs="Arial"/>
                <w:color w:val="auto"/>
                <w:szCs w:val="21"/>
              </w:rPr>
            </w:pPr>
          </w:p>
        </w:tc>
        <w:tc>
          <w:tcPr>
            <w:tcW w:w="721" w:type="dxa"/>
            <w:vMerge w:val="restart"/>
            <w:vAlign w:val="center"/>
          </w:tcPr>
          <w:p w14:paraId="5E0BC0F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w:t>
            </w:r>
          </w:p>
          <w:p w14:paraId="3BD57EA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基准</w:t>
            </w:r>
          </w:p>
        </w:tc>
        <w:tc>
          <w:tcPr>
            <w:tcW w:w="722" w:type="dxa"/>
            <w:vMerge w:val="restart"/>
            <w:vAlign w:val="center"/>
          </w:tcPr>
          <w:p w14:paraId="5935547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p w14:paraId="2E2A0A1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情形</w:t>
            </w:r>
          </w:p>
        </w:tc>
        <w:tc>
          <w:tcPr>
            <w:tcW w:w="4101" w:type="dxa"/>
            <w:vAlign w:val="center"/>
          </w:tcPr>
          <w:p w14:paraId="390BB01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责令改正，给予警告。</w:t>
            </w:r>
          </w:p>
        </w:tc>
        <w:tc>
          <w:tcPr>
            <w:tcW w:w="2894" w:type="dxa"/>
            <w:vAlign w:val="center"/>
          </w:tcPr>
          <w:p w14:paraId="6E918E49">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责令改正，给予警告。</w:t>
            </w:r>
          </w:p>
        </w:tc>
        <w:tc>
          <w:tcPr>
            <w:tcW w:w="5090" w:type="dxa"/>
            <w:vAlign w:val="center"/>
          </w:tcPr>
          <w:p w14:paraId="1FD738F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责令改正，给予警告。</w:t>
            </w:r>
          </w:p>
        </w:tc>
      </w:tr>
      <w:tr w14:paraId="5486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5" w:type="dxa"/>
            <w:vMerge w:val="continue"/>
            <w:vAlign w:val="center"/>
          </w:tcPr>
          <w:p w14:paraId="693EC81A">
            <w:pPr>
              <w:widowControl/>
              <w:adjustRightInd w:val="0"/>
              <w:snapToGrid w:val="0"/>
              <w:jc w:val="both"/>
              <w:rPr>
                <w:rFonts w:ascii="仿宋" w:hAnsi="仿宋" w:eastAsia="仿宋" w:cs="Arial"/>
                <w:color w:val="auto"/>
                <w:szCs w:val="21"/>
              </w:rPr>
            </w:pPr>
          </w:p>
        </w:tc>
        <w:tc>
          <w:tcPr>
            <w:tcW w:w="721" w:type="dxa"/>
            <w:vMerge w:val="continue"/>
            <w:vAlign w:val="center"/>
          </w:tcPr>
          <w:p w14:paraId="4015CB91">
            <w:pPr>
              <w:widowControl/>
              <w:adjustRightInd w:val="0"/>
              <w:snapToGrid w:val="0"/>
              <w:jc w:val="both"/>
              <w:rPr>
                <w:rFonts w:ascii="仿宋" w:hAnsi="仿宋" w:eastAsia="仿宋" w:cs="Arial"/>
                <w:color w:val="auto"/>
                <w:szCs w:val="21"/>
              </w:rPr>
            </w:pPr>
          </w:p>
        </w:tc>
        <w:tc>
          <w:tcPr>
            <w:tcW w:w="722" w:type="dxa"/>
            <w:vMerge w:val="continue"/>
            <w:vAlign w:val="center"/>
          </w:tcPr>
          <w:p w14:paraId="51853B69">
            <w:pPr>
              <w:widowControl/>
              <w:adjustRightInd w:val="0"/>
              <w:snapToGrid w:val="0"/>
              <w:jc w:val="both"/>
              <w:rPr>
                <w:rFonts w:ascii="仿宋" w:hAnsi="仿宋" w:eastAsia="仿宋" w:cs="Arial"/>
                <w:color w:val="auto"/>
                <w:szCs w:val="21"/>
              </w:rPr>
            </w:pPr>
          </w:p>
        </w:tc>
        <w:tc>
          <w:tcPr>
            <w:tcW w:w="4101" w:type="dxa"/>
            <w:vAlign w:val="center"/>
          </w:tcPr>
          <w:p w14:paraId="2A049AF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拒不改正的，处20万元以上29万元以下的罚款。</w:t>
            </w:r>
          </w:p>
        </w:tc>
        <w:tc>
          <w:tcPr>
            <w:tcW w:w="2894" w:type="dxa"/>
            <w:vAlign w:val="center"/>
          </w:tcPr>
          <w:p w14:paraId="7B28CF9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拒不改正的，处29万元以上41万元以下的罚款。</w:t>
            </w:r>
          </w:p>
        </w:tc>
        <w:tc>
          <w:tcPr>
            <w:tcW w:w="5090" w:type="dxa"/>
            <w:vAlign w:val="center"/>
          </w:tcPr>
          <w:p w14:paraId="72DD904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拒不改正的，处41万元以上50万元以下的罚款。</w:t>
            </w:r>
          </w:p>
        </w:tc>
      </w:tr>
      <w:tr w14:paraId="7871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535" w:type="dxa"/>
            <w:vMerge w:val="continue"/>
            <w:vAlign w:val="center"/>
          </w:tcPr>
          <w:p w14:paraId="2FE5CE72">
            <w:pPr>
              <w:widowControl/>
              <w:adjustRightInd w:val="0"/>
              <w:snapToGrid w:val="0"/>
              <w:jc w:val="both"/>
              <w:rPr>
                <w:rFonts w:ascii="仿宋" w:hAnsi="仿宋" w:eastAsia="仿宋" w:cs="Arial"/>
                <w:color w:val="auto"/>
                <w:szCs w:val="21"/>
              </w:rPr>
            </w:pPr>
          </w:p>
        </w:tc>
        <w:tc>
          <w:tcPr>
            <w:tcW w:w="721" w:type="dxa"/>
            <w:vMerge w:val="continue"/>
            <w:vAlign w:val="center"/>
          </w:tcPr>
          <w:p w14:paraId="093F6CD5">
            <w:pPr>
              <w:widowControl/>
              <w:adjustRightInd w:val="0"/>
              <w:snapToGrid w:val="0"/>
              <w:jc w:val="both"/>
              <w:rPr>
                <w:rFonts w:ascii="仿宋" w:hAnsi="仿宋" w:eastAsia="仿宋" w:cs="Arial"/>
                <w:color w:val="auto"/>
                <w:szCs w:val="21"/>
              </w:rPr>
            </w:pPr>
          </w:p>
        </w:tc>
        <w:tc>
          <w:tcPr>
            <w:tcW w:w="722" w:type="dxa"/>
            <w:vAlign w:val="center"/>
          </w:tcPr>
          <w:p w14:paraId="60260A2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w:t>
            </w:r>
          </w:p>
          <w:p w14:paraId="27D03A4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严重</w:t>
            </w:r>
          </w:p>
        </w:tc>
        <w:tc>
          <w:tcPr>
            <w:tcW w:w="4101" w:type="dxa"/>
            <w:vAlign w:val="center"/>
          </w:tcPr>
          <w:p w14:paraId="7D53FCB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责令停产停业整顿；</w:t>
            </w:r>
          </w:p>
          <w:p w14:paraId="5F22081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并处50万元以上95万元以下的罚款。</w:t>
            </w:r>
          </w:p>
        </w:tc>
        <w:tc>
          <w:tcPr>
            <w:tcW w:w="2894" w:type="dxa"/>
            <w:vAlign w:val="center"/>
          </w:tcPr>
          <w:p w14:paraId="7879B8F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责令停产停业整顿；</w:t>
            </w:r>
          </w:p>
          <w:p w14:paraId="5A9E0A0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并处95万元以上155万元以下的罚款。</w:t>
            </w:r>
          </w:p>
        </w:tc>
        <w:tc>
          <w:tcPr>
            <w:tcW w:w="5090" w:type="dxa"/>
            <w:vAlign w:val="center"/>
          </w:tcPr>
          <w:p w14:paraId="778EF95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责令停产停业整顿；</w:t>
            </w:r>
          </w:p>
          <w:p w14:paraId="0F5DFCD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并处155万元以上200万元以下的罚款。</w:t>
            </w:r>
          </w:p>
        </w:tc>
      </w:tr>
    </w:tbl>
    <w:p w14:paraId="71F40D06">
      <w:pPr>
        <w:widowControl/>
        <w:tabs>
          <w:tab w:val="left" w:pos="822"/>
          <w:tab w:val="left" w:pos="1676"/>
          <w:tab w:val="left" w:pos="2536"/>
          <w:tab w:val="left" w:pos="6106"/>
          <w:tab w:val="left" w:pos="8957"/>
        </w:tabs>
        <w:adjustRightInd w:val="0"/>
        <w:spacing w:line="180" w:lineRule="exact"/>
        <w:jc w:val="both"/>
        <w:rPr>
          <w:rFonts w:ascii="仿宋" w:hAnsi="仿宋" w:eastAsia="仿宋" w:cs="Arial"/>
          <w:b/>
          <w:bCs/>
          <w:color w:val="auto"/>
          <w:szCs w:val="21"/>
        </w:rPr>
      </w:pPr>
    </w:p>
    <w:tbl>
      <w:tblPr>
        <w:tblStyle w:val="6"/>
        <w:tblW w:w="14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637"/>
        <w:gridCol w:w="638"/>
        <w:gridCol w:w="4422"/>
        <w:gridCol w:w="3320"/>
        <w:gridCol w:w="4512"/>
      </w:tblGrid>
      <w:tr w14:paraId="1F0D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4" w:type="dxa"/>
            <w:vMerge w:val="restart"/>
            <w:vAlign w:val="center"/>
          </w:tcPr>
          <w:p w14:paraId="48531103">
            <w:pPr>
              <w:widowControl/>
              <w:adjustRightInd w:val="0"/>
              <w:snapToGrid w:val="0"/>
              <w:jc w:val="both"/>
              <w:rPr>
                <w:rFonts w:ascii="仿宋" w:hAnsi="仿宋" w:eastAsia="仿宋" w:cs="Arial"/>
                <w:b/>
                <w:color w:val="auto"/>
                <w:szCs w:val="21"/>
              </w:rPr>
            </w:pPr>
            <w:r>
              <w:rPr>
                <w:rFonts w:hint="eastAsia" w:ascii="仿宋" w:hAnsi="仿宋" w:eastAsia="仿宋" w:cs="宋体"/>
                <w:b/>
                <w:color w:val="auto"/>
                <w:szCs w:val="21"/>
              </w:rPr>
              <w:t>25</w:t>
            </w:r>
          </w:p>
        </w:tc>
        <w:tc>
          <w:tcPr>
            <w:tcW w:w="1275" w:type="dxa"/>
            <w:gridSpan w:val="2"/>
            <w:vAlign w:val="center"/>
          </w:tcPr>
          <w:p w14:paraId="2C50131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254" w:type="dxa"/>
            <w:gridSpan w:val="3"/>
            <w:vAlign w:val="center"/>
          </w:tcPr>
          <w:p w14:paraId="4D23C25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疾病预防控制机构、接种单位、疫苗上市许可持有人、疫苗配送单位违反疫苗储存、运输管理规范有关冷链储存、运输要求的，且拒不改正的</w:t>
            </w:r>
          </w:p>
        </w:tc>
      </w:tr>
      <w:tr w14:paraId="729B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534" w:type="dxa"/>
            <w:vMerge w:val="continue"/>
            <w:vAlign w:val="center"/>
          </w:tcPr>
          <w:p w14:paraId="3575A7B5">
            <w:pPr>
              <w:widowControl/>
              <w:adjustRightInd w:val="0"/>
              <w:snapToGrid w:val="0"/>
              <w:jc w:val="both"/>
              <w:rPr>
                <w:rFonts w:ascii="仿宋" w:hAnsi="仿宋" w:eastAsia="仿宋" w:cs="Arial"/>
                <w:color w:val="auto"/>
                <w:szCs w:val="21"/>
              </w:rPr>
            </w:pPr>
          </w:p>
        </w:tc>
        <w:tc>
          <w:tcPr>
            <w:tcW w:w="1275" w:type="dxa"/>
            <w:gridSpan w:val="2"/>
            <w:vAlign w:val="center"/>
          </w:tcPr>
          <w:p w14:paraId="3AF5994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254" w:type="dxa"/>
            <w:gridSpan w:val="3"/>
            <w:vAlign w:val="center"/>
          </w:tcPr>
          <w:p w14:paraId="3191920A">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w:t>
            </w:r>
            <w:r>
              <w:rPr>
                <w:rFonts w:hint="eastAsia" w:ascii="仿宋" w:hAnsi="仿宋" w:eastAsia="仿宋" w:cs="Arial"/>
                <w:b/>
                <w:bCs/>
                <w:color w:val="auto"/>
                <w:szCs w:val="21"/>
                <w:lang w:eastAsia="zh-CN"/>
              </w:rPr>
              <w:t>中华人民共和国疫苗管理法</w:t>
            </w:r>
            <w:r>
              <w:rPr>
                <w:rFonts w:hint="eastAsia" w:ascii="仿宋" w:hAnsi="仿宋" w:eastAsia="仿宋" w:cs="Arial"/>
                <w:b/>
                <w:bCs/>
                <w:color w:val="auto"/>
                <w:szCs w:val="21"/>
              </w:rPr>
              <w:t>》第八十五条第一款：</w:t>
            </w:r>
            <w:r>
              <w:rPr>
                <w:rFonts w:hint="eastAsia" w:ascii="仿宋" w:hAnsi="仿宋" w:eastAsia="仿宋" w:cs="Arial"/>
                <w:color w:val="auto"/>
                <w:szCs w:val="21"/>
              </w:rPr>
              <w:t>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w:t>
            </w:r>
          </w:p>
        </w:tc>
      </w:tr>
      <w:tr w14:paraId="0AA3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continue"/>
            <w:vAlign w:val="center"/>
          </w:tcPr>
          <w:p w14:paraId="4CD34AA9">
            <w:pPr>
              <w:widowControl/>
              <w:adjustRightInd w:val="0"/>
              <w:snapToGrid w:val="0"/>
              <w:jc w:val="both"/>
              <w:rPr>
                <w:rFonts w:ascii="仿宋" w:hAnsi="仿宋" w:eastAsia="仿宋" w:cs="Arial"/>
                <w:color w:val="auto"/>
                <w:szCs w:val="21"/>
              </w:rPr>
            </w:pPr>
          </w:p>
        </w:tc>
        <w:tc>
          <w:tcPr>
            <w:tcW w:w="1275" w:type="dxa"/>
            <w:gridSpan w:val="2"/>
            <w:vAlign w:val="center"/>
          </w:tcPr>
          <w:p w14:paraId="2C65002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4422" w:type="dxa"/>
            <w:vAlign w:val="center"/>
          </w:tcPr>
          <w:p w14:paraId="47E92C6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3320" w:type="dxa"/>
            <w:vAlign w:val="center"/>
          </w:tcPr>
          <w:p w14:paraId="4C5F817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4512" w:type="dxa"/>
            <w:vAlign w:val="center"/>
          </w:tcPr>
          <w:p w14:paraId="71FFC73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530E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34" w:type="dxa"/>
            <w:vMerge w:val="continue"/>
            <w:vAlign w:val="center"/>
          </w:tcPr>
          <w:p w14:paraId="461EFC36">
            <w:pPr>
              <w:widowControl/>
              <w:adjustRightInd w:val="0"/>
              <w:snapToGrid w:val="0"/>
              <w:jc w:val="both"/>
              <w:rPr>
                <w:rFonts w:ascii="仿宋" w:hAnsi="仿宋" w:eastAsia="仿宋" w:cs="Arial"/>
                <w:color w:val="auto"/>
                <w:szCs w:val="21"/>
              </w:rPr>
            </w:pPr>
          </w:p>
        </w:tc>
        <w:tc>
          <w:tcPr>
            <w:tcW w:w="1275" w:type="dxa"/>
            <w:gridSpan w:val="2"/>
            <w:vAlign w:val="center"/>
          </w:tcPr>
          <w:p w14:paraId="758FFEB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4422" w:type="dxa"/>
            <w:vAlign w:val="center"/>
          </w:tcPr>
          <w:p w14:paraId="7B739AD0">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320" w:type="dxa"/>
            <w:vAlign w:val="center"/>
          </w:tcPr>
          <w:p w14:paraId="2B343A28">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4512" w:type="dxa"/>
            <w:vAlign w:val="center"/>
          </w:tcPr>
          <w:p w14:paraId="4497368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5FDD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534" w:type="dxa"/>
            <w:vMerge w:val="continue"/>
            <w:vAlign w:val="center"/>
          </w:tcPr>
          <w:p w14:paraId="6E0A2AB8">
            <w:pPr>
              <w:widowControl/>
              <w:adjustRightInd w:val="0"/>
              <w:snapToGrid w:val="0"/>
              <w:jc w:val="both"/>
              <w:rPr>
                <w:rFonts w:ascii="仿宋" w:hAnsi="仿宋" w:eastAsia="仿宋" w:cs="Arial"/>
                <w:color w:val="auto"/>
                <w:szCs w:val="21"/>
              </w:rPr>
            </w:pPr>
          </w:p>
        </w:tc>
        <w:tc>
          <w:tcPr>
            <w:tcW w:w="637" w:type="dxa"/>
            <w:vMerge w:val="restart"/>
            <w:vAlign w:val="center"/>
          </w:tcPr>
          <w:p w14:paraId="4E3C113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w:t>
            </w:r>
          </w:p>
          <w:p w14:paraId="72BE49D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量</w:t>
            </w:r>
          </w:p>
          <w:p w14:paraId="472E2B8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w:t>
            </w:r>
          </w:p>
          <w:p w14:paraId="53B1ACC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准</w:t>
            </w:r>
          </w:p>
        </w:tc>
        <w:tc>
          <w:tcPr>
            <w:tcW w:w="638" w:type="dxa"/>
            <w:vMerge w:val="restart"/>
            <w:vAlign w:val="center"/>
          </w:tcPr>
          <w:p w14:paraId="534FAFB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w:t>
            </w:r>
          </w:p>
          <w:p w14:paraId="2B99CDD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般</w:t>
            </w:r>
          </w:p>
          <w:p w14:paraId="175DCC8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w:t>
            </w:r>
          </w:p>
          <w:p w14:paraId="5122763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形</w:t>
            </w:r>
          </w:p>
        </w:tc>
        <w:tc>
          <w:tcPr>
            <w:tcW w:w="4422" w:type="dxa"/>
            <w:vAlign w:val="center"/>
          </w:tcPr>
          <w:p w14:paraId="3EBD605D">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责令改正，给予警告；</w:t>
            </w:r>
          </w:p>
          <w:p w14:paraId="02558D93">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违法储存、运输的疫苗予以销毁；</w:t>
            </w:r>
          </w:p>
          <w:p w14:paraId="14C8C768">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没收违法所得。</w:t>
            </w:r>
          </w:p>
        </w:tc>
        <w:tc>
          <w:tcPr>
            <w:tcW w:w="3320" w:type="dxa"/>
            <w:vAlign w:val="center"/>
          </w:tcPr>
          <w:p w14:paraId="0A890551">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责令改正，给予警告；</w:t>
            </w:r>
          </w:p>
          <w:p w14:paraId="13C3B4D6">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违法储存、运输的疫苗予以销毁；</w:t>
            </w:r>
          </w:p>
          <w:p w14:paraId="6F9B4691">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没收违法所得。</w:t>
            </w:r>
          </w:p>
        </w:tc>
        <w:tc>
          <w:tcPr>
            <w:tcW w:w="4512" w:type="dxa"/>
            <w:vAlign w:val="center"/>
          </w:tcPr>
          <w:p w14:paraId="36007015">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责令改正，给予警告；</w:t>
            </w:r>
          </w:p>
          <w:p w14:paraId="09A93EA6">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违法储存、运输的疫苗予以销毁；</w:t>
            </w:r>
          </w:p>
          <w:p w14:paraId="7D5CF7E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没收违法所得。</w:t>
            </w:r>
          </w:p>
        </w:tc>
      </w:tr>
      <w:tr w14:paraId="32CC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3" w:hRule="atLeast"/>
          <w:jc w:val="center"/>
        </w:trPr>
        <w:tc>
          <w:tcPr>
            <w:tcW w:w="534" w:type="dxa"/>
            <w:vMerge w:val="continue"/>
            <w:vAlign w:val="center"/>
          </w:tcPr>
          <w:p w14:paraId="3B2FF076">
            <w:pPr>
              <w:widowControl/>
              <w:adjustRightInd w:val="0"/>
              <w:snapToGrid w:val="0"/>
              <w:jc w:val="both"/>
              <w:rPr>
                <w:rFonts w:ascii="仿宋" w:hAnsi="仿宋" w:eastAsia="仿宋" w:cs="Arial"/>
                <w:color w:val="auto"/>
                <w:szCs w:val="21"/>
              </w:rPr>
            </w:pPr>
          </w:p>
        </w:tc>
        <w:tc>
          <w:tcPr>
            <w:tcW w:w="637" w:type="dxa"/>
            <w:vMerge w:val="continue"/>
            <w:vAlign w:val="center"/>
          </w:tcPr>
          <w:p w14:paraId="17DBBAEB">
            <w:pPr>
              <w:widowControl/>
              <w:adjustRightInd w:val="0"/>
              <w:snapToGrid w:val="0"/>
              <w:jc w:val="both"/>
              <w:rPr>
                <w:rFonts w:ascii="仿宋" w:hAnsi="仿宋" w:eastAsia="仿宋" w:cs="Arial"/>
                <w:color w:val="auto"/>
                <w:szCs w:val="21"/>
              </w:rPr>
            </w:pPr>
          </w:p>
        </w:tc>
        <w:tc>
          <w:tcPr>
            <w:tcW w:w="638" w:type="dxa"/>
            <w:vMerge w:val="continue"/>
            <w:vAlign w:val="center"/>
          </w:tcPr>
          <w:p w14:paraId="02817D62">
            <w:pPr>
              <w:widowControl/>
              <w:adjustRightInd w:val="0"/>
              <w:snapToGrid w:val="0"/>
              <w:jc w:val="both"/>
              <w:rPr>
                <w:rFonts w:ascii="仿宋" w:hAnsi="仿宋" w:eastAsia="仿宋" w:cs="Arial"/>
                <w:color w:val="auto"/>
                <w:szCs w:val="21"/>
              </w:rPr>
            </w:pPr>
          </w:p>
        </w:tc>
        <w:tc>
          <w:tcPr>
            <w:tcW w:w="4422" w:type="dxa"/>
            <w:vAlign w:val="center"/>
          </w:tcPr>
          <w:p w14:paraId="128EEF57">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拒不改正的，对接种单位、疫苗上市许可持有人、疫苗配送单位处违法储存、运输疫苗货值金额20万元以上44万元以下的罚款。</w:t>
            </w:r>
          </w:p>
          <w:p w14:paraId="176ABE5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货值金额不足10万元的，按10万元计算。</w:t>
            </w:r>
          </w:p>
        </w:tc>
        <w:tc>
          <w:tcPr>
            <w:tcW w:w="3320" w:type="dxa"/>
            <w:vAlign w:val="center"/>
          </w:tcPr>
          <w:p w14:paraId="4AF7011B">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拒不改正的，对接种单位、疫苗上市许可持有人、疫苗配送单位处违法储存、运输疫苗货值金额44万元以上76万元以下的罚款。</w:t>
            </w:r>
          </w:p>
          <w:p w14:paraId="207847C4">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货值金额不足10万元的，按10万元计算。</w:t>
            </w:r>
          </w:p>
        </w:tc>
        <w:tc>
          <w:tcPr>
            <w:tcW w:w="4512" w:type="dxa"/>
            <w:vAlign w:val="center"/>
          </w:tcPr>
          <w:p w14:paraId="1813BC9C">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拒不改正的，对接种单位、疫苗上市许可持有人、疫苗配送单位违法储存、运输疫苗货值金额76万元以上100万元以下的罚款。</w:t>
            </w:r>
          </w:p>
          <w:p w14:paraId="1FB997F8">
            <w:pPr>
              <w:widowControl/>
              <w:adjustRightInd w:val="0"/>
              <w:snapToGrid w:val="0"/>
              <w:spacing w:line="240" w:lineRule="exact"/>
              <w:jc w:val="both"/>
              <w:rPr>
                <w:rFonts w:ascii="仿宋" w:hAnsi="仿宋" w:eastAsia="仿宋" w:cs="Arial"/>
                <w:color w:val="auto"/>
                <w:szCs w:val="21"/>
              </w:rPr>
            </w:pPr>
            <w:r>
              <w:rPr>
                <w:rFonts w:hint="eastAsia" w:ascii="仿宋" w:hAnsi="仿宋" w:eastAsia="仿宋" w:cs="Arial"/>
                <w:color w:val="auto"/>
                <w:szCs w:val="21"/>
              </w:rPr>
              <w:t>货值金额不足10万元的，按10万元计算。</w:t>
            </w:r>
          </w:p>
          <w:p w14:paraId="1316CB98">
            <w:pPr>
              <w:widowControl/>
              <w:adjustRightInd w:val="0"/>
              <w:snapToGrid w:val="0"/>
              <w:spacing w:line="240" w:lineRule="exact"/>
              <w:jc w:val="both"/>
              <w:rPr>
                <w:rFonts w:ascii="仿宋" w:hAnsi="仿宋" w:eastAsia="仿宋" w:cs="Arial"/>
                <w:color w:val="auto"/>
                <w:szCs w:val="21"/>
              </w:rPr>
            </w:pPr>
          </w:p>
        </w:tc>
      </w:tr>
      <w:tr w14:paraId="0A34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1" w:hRule="atLeast"/>
          <w:jc w:val="center"/>
        </w:trPr>
        <w:tc>
          <w:tcPr>
            <w:tcW w:w="534" w:type="dxa"/>
            <w:vAlign w:val="center"/>
          </w:tcPr>
          <w:p w14:paraId="145DCEAE">
            <w:pPr>
              <w:widowControl/>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25</w:t>
            </w:r>
          </w:p>
        </w:tc>
        <w:tc>
          <w:tcPr>
            <w:tcW w:w="637" w:type="dxa"/>
            <w:vAlign w:val="center"/>
          </w:tcPr>
          <w:p w14:paraId="5BE4DDD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w:t>
            </w:r>
          </w:p>
          <w:p w14:paraId="0C513B5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量</w:t>
            </w:r>
          </w:p>
          <w:p w14:paraId="3A2E752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w:t>
            </w:r>
          </w:p>
          <w:p w14:paraId="458D64C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准</w:t>
            </w:r>
          </w:p>
        </w:tc>
        <w:tc>
          <w:tcPr>
            <w:tcW w:w="638" w:type="dxa"/>
            <w:vAlign w:val="center"/>
          </w:tcPr>
          <w:p w14:paraId="1B1A068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w:t>
            </w:r>
          </w:p>
          <w:p w14:paraId="5F803BB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节</w:t>
            </w:r>
          </w:p>
          <w:p w14:paraId="2C1AA64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w:t>
            </w:r>
          </w:p>
          <w:p w14:paraId="6DC5562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重</w:t>
            </w:r>
          </w:p>
        </w:tc>
        <w:tc>
          <w:tcPr>
            <w:tcW w:w="4422" w:type="dxa"/>
            <w:vAlign w:val="center"/>
          </w:tcPr>
          <w:p w14:paraId="5D1AE40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（一）对单位的处罚：</w:t>
            </w:r>
          </w:p>
          <w:p w14:paraId="42687A1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1.对接种单位、疫苗上市许可持有人、疫苗配送单位处违法储存、运输疫苗货值金额处违法储存、运输疫苗货值金额10倍以上16倍以下的罚款</w:t>
            </w:r>
            <w:r>
              <w:rPr>
                <w:rFonts w:hint="eastAsia" w:ascii="仿宋" w:hAnsi="仿宋" w:eastAsia="仿宋" w:cs="Arial"/>
                <w:color w:val="auto"/>
                <w:szCs w:val="21"/>
                <w:lang w:eastAsia="zh-CN"/>
              </w:rPr>
              <w:t>，</w:t>
            </w:r>
            <w:r>
              <w:rPr>
                <w:rFonts w:hint="eastAsia" w:ascii="仿宋" w:hAnsi="仿宋" w:eastAsia="仿宋" w:cs="Arial"/>
                <w:color w:val="auto"/>
                <w:szCs w:val="21"/>
              </w:rPr>
              <w:t>货值金额不足10万元的，按10万元计算</w:t>
            </w:r>
            <w:r>
              <w:rPr>
                <w:rFonts w:hint="eastAsia" w:ascii="仿宋" w:hAnsi="仿宋" w:eastAsia="仿宋" w:cs="Arial"/>
                <w:color w:val="auto"/>
                <w:szCs w:val="21"/>
                <w:lang w:eastAsia="zh-CN"/>
              </w:rPr>
              <w:t>；</w:t>
            </w:r>
          </w:p>
          <w:p w14:paraId="1D06CFC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责令疫苗上市许可持有人、疫苗配送单位停产停业整顿</w:t>
            </w:r>
            <w:r>
              <w:rPr>
                <w:rFonts w:hint="eastAsia" w:ascii="仿宋" w:hAnsi="仿宋" w:eastAsia="仿宋" w:cs="Arial"/>
                <w:color w:val="auto"/>
                <w:szCs w:val="21"/>
                <w:lang w:eastAsia="zh-CN"/>
              </w:rPr>
              <w:t>；</w:t>
            </w:r>
          </w:p>
          <w:p w14:paraId="44D2D06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直至吊销药品相关批准证明文件、药品生产许可证等。</w:t>
            </w:r>
          </w:p>
          <w:p w14:paraId="4D6B606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（二）对责任人的处罚：</w:t>
            </w:r>
          </w:p>
          <w:p w14:paraId="6173E00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16730D1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并处所获收入50%以上1.85倍以下的罚款；</w:t>
            </w:r>
          </w:p>
          <w:p w14:paraId="5794367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10年内禁止从事药品生产经营活动。</w:t>
            </w:r>
          </w:p>
        </w:tc>
        <w:tc>
          <w:tcPr>
            <w:tcW w:w="3320" w:type="dxa"/>
            <w:vAlign w:val="center"/>
          </w:tcPr>
          <w:p w14:paraId="2F0E341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（一）对单位的处罚：</w:t>
            </w:r>
          </w:p>
          <w:p w14:paraId="0B2E55C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对接种单位、疫苗上市许可持有人、疫苗配送单位处违法储存、运输疫苗货值金额处违法储存、运输疫苗货值金额16倍以上24倍以下的罚款</w:t>
            </w:r>
            <w:r>
              <w:rPr>
                <w:rFonts w:hint="eastAsia" w:ascii="仿宋" w:hAnsi="仿宋" w:eastAsia="仿宋" w:cs="Arial"/>
                <w:color w:val="auto"/>
                <w:szCs w:val="21"/>
                <w:lang w:eastAsia="zh-CN"/>
              </w:rPr>
              <w:t>，</w:t>
            </w:r>
            <w:r>
              <w:rPr>
                <w:rFonts w:hint="eastAsia" w:ascii="仿宋" w:hAnsi="仿宋" w:eastAsia="仿宋" w:cs="Arial"/>
                <w:color w:val="auto"/>
                <w:szCs w:val="21"/>
              </w:rPr>
              <w:t>货值金额不足10万元的，按10万元计算</w:t>
            </w:r>
            <w:r>
              <w:rPr>
                <w:rFonts w:hint="eastAsia" w:ascii="仿宋" w:hAnsi="仿宋" w:eastAsia="仿宋" w:cs="Arial"/>
                <w:color w:val="auto"/>
                <w:szCs w:val="21"/>
                <w:lang w:eastAsia="zh-CN"/>
              </w:rPr>
              <w:t>；</w:t>
            </w:r>
          </w:p>
          <w:p w14:paraId="69428E4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责令疫苗上市许可持有人、疫苗配送单位停产停业整顿</w:t>
            </w:r>
            <w:r>
              <w:rPr>
                <w:rFonts w:hint="eastAsia" w:ascii="仿宋" w:hAnsi="仿宋" w:eastAsia="仿宋" w:cs="Arial"/>
                <w:color w:val="auto"/>
                <w:szCs w:val="21"/>
                <w:lang w:eastAsia="zh-CN"/>
              </w:rPr>
              <w:t>；</w:t>
            </w:r>
          </w:p>
          <w:p w14:paraId="738CB8B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直至吊销药品相关批准证明文件、药品生产许可证等。</w:t>
            </w:r>
          </w:p>
          <w:p w14:paraId="750403C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（二）对责任人的处罚：</w:t>
            </w:r>
          </w:p>
          <w:p w14:paraId="3411063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2C8B026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并处所获收入1.85倍以上3.65倍以下的罚款；</w:t>
            </w:r>
          </w:p>
          <w:p w14:paraId="159453B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10年以上（不含本数）20年以内（含本数）</w:t>
            </w:r>
            <w:r>
              <w:rPr>
                <w:rFonts w:hint="eastAsia" w:ascii="仿宋" w:hAnsi="仿宋" w:eastAsia="仿宋" w:cs="Arial"/>
                <w:color w:val="auto"/>
                <w:szCs w:val="21"/>
              </w:rPr>
              <w:t>禁止从事药品生产经营活动。</w:t>
            </w:r>
          </w:p>
        </w:tc>
        <w:tc>
          <w:tcPr>
            <w:tcW w:w="4512" w:type="dxa"/>
            <w:vAlign w:val="center"/>
          </w:tcPr>
          <w:p w14:paraId="1922D49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（一）对单位的处罚：</w:t>
            </w:r>
          </w:p>
          <w:p w14:paraId="3C66C59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对接种单位、疫苗上市许可持有人、疫苗配送单位处违法储存、运输疫苗货值金额处违法储存、运输疫苗货值金额24倍以上30倍以下的罚款</w:t>
            </w:r>
            <w:r>
              <w:rPr>
                <w:rFonts w:hint="eastAsia" w:ascii="仿宋" w:hAnsi="仿宋" w:eastAsia="仿宋" w:cs="Arial"/>
                <w:color w:val="auto"/>
                <w:szCs w:val="21"/>
                <w:lang w:eastAsia="zh-CN"/>
              </w:rPr>
              <w:t>，</w:t>
            </w:r>
            <w:r>
              <w:rPr>
                <w:rFonts w:hint="eastAsia" w:ascii="仿宋" w:hAnsi="仿宋" w:eastAsia="仿宋" w:cs="Arial"/>
                <w:color w:val="auto"/>
                <w:szCs w:val="21"/>
              </w:rPr>
              <w:t>货值金额不足10万元的，按10万元计算</w:t>
            </w:r>
            <w:r>
              <w:rPr>
                <w:rFonts w:hint="eastAsia" w:ascii="仿宋" w:hAnsi="仿宋" w:eastAsia="仿宋" w:cs="Arial"/>
                <w:color w:val="auto"/>
                <w:szCs w:val="21"/>
                <w:lang w:eastAsia="zh-CN"/>
              </w:rPr>
              <w:t>；</w:t>
            </w:r>
          </w:p>
          <w:p w14:paraId="6616CE5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责令疫苗上市许可持有人、疫苗配送单位停产停业整顿</w:t>
            </w:r>
            <w:r>
              <w:rPr>
                <w:rFonts w:hint="eastAsia" w:ascii="仿宋" w:hAnsi="仿宋" w:eastAsia="仿宋" w:cs="Arial"/>
                <w:color w:val="auto"/>
                <w:szCs w:val="21"/>
                <w:lang w:eastAsia="zh-CN"/>
              </w:rPr>
              <w:t>；</w:t>
            </w:r>
          </w:p>
          <w:p w14:paraId="4141EF2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直至吊销药品相关批准证明文件、药品生产许可证等。</w:t>
            </w:r>
          </w:p>
          <w:p w14:paraId="58806EBF">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（二）对责任人的处罚：</w:t>
            </w:r>
          </w:p>
          <w:p w14:paraId="15633CD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14:paraId="06E0F80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并处所获收入3.65倍以上5倍以下的罚款；</w:t>
            </w:r>
          </w:p>
          <w:p w14:paraId="5E7EF6D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20年以上（不含本数）</w:t>
            </w:r>
            <w:r>
              <w:rPr>
                <w:rFonts w:hint="eastAsia" w:ascii="仿宋" w:hAnsi="仿宋" w:eastAsia="仿宋" w:cs="Arial"/>
                <w:color w:val="auto"/>
                <w:szCs w:val="21"/>
              </w:rPr>
              <w:t>至终身禁止从事药品生产经营活动。</w:t>
            </w:r>
          </w:p>
        </w:tc>
      </w:tr>
    </w:tbl>
    <w:p w14:paraId="7CD84F32">
      <w:pPr>
        <w:widowControl/>
        <w:tabs>
          <w:tab w:val="left" w:pos="846"/>
          <w:tab w:val="left" w:pos="1670"/>
          <w:tab w:val="left" w:pos="2560"/>
          <w:tab w:val="left" w:pos="6254"/>
          <w:tab w:val="left" w:pos="9510"/>
        </w:tabs>
        <w:adjustRightInd w:val="0"/>
        <w:snapToGrid w:val="0"/>
        <w:jc w:val="both"/>
        <w:rPr>
          <w:rFonts w:ascii="仿宋" w:hAnsi="仿宋" w:eastAsia="仿宋" w:cs="Arial"/>
          <w:b/>
          <w:bCs/>
          <w:color w:val="auto"/>
          <w:szCs w:val="21"/>
        </w:rPr>
      </w:pPr>
    </w:p>
    <w:tbl>
      <w:tblPr>
        <w:tblStyle w:val="6"/>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648"/>
        <w:gridCol w:w="649"/>
        <w:gridCol w:w="4408"/>
        <w:gridCol w:w="2635"/>
        <w:gridCol w:w="5126"/>
      </w:tblGrid>
      <w:tr w14:paraId="5E25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4" w:type="dxa"/>
            <w:vMerge w:val="restart"/>
            <w:vAlign w:val="center"/>
          </w:tcPr>
          <w:p w14:paraId="5F04CF0B">
            <w:pPr>
              <w:widowControl/>
              <w:adjustRightInd w:val="0"/>
              <w:snapToGrid w:val="0"/>
              <w:jc w:val="both"/>
              <w:rPr>
                <w:rFonts w:ascii="仿宋" w:hAnsi="仿宋" w:eastAsia="仿宋" w:cs="Arial"/>
                <w:b/>
                <w:color w:val="auto"/>
                <w:szCs w:val="21"/>
              </w:rPr>
            </w:pPr>
            <w:r>
              <w:rPr>
                <w:rFonts w:hint="eastAsia" w:ascii="仿宋" w:hAnsi="仿宋" w:eastAsia="仿宋" w:cs="宋体"/>
                <w:b/>
                <w:color w:val="auto"/>
                <w:szCs w:val="21"/>
              </w:rPr>
              <w:t>26</w:t>
            </w:r>
          </w:p>
        </w:tc>
        <w:tc>
          <w:tcPr>
            <w:tcW w:w="1297" w:type="dxa"/>
            <w:gridSpan w:val="2"/>
            <w:vAlign w:val="center"/>
          </w:tcPr>
          <w:p w14:paraId="5AC7B26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169" w:type="dxa"/>
            <w:gridSpan w:val="3"/>
            <w:vAlign w:val="center"/>
          </w:tcPr>
          <w:p w14:paraId="615470D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疾病预防控制机构、接种单位、疫苗上市许可持有人、疫苗配送单位有本法第八十五条规定以外的违反疫苗储存、运输管理规范行为的，且拒不改正的</w:t>
            </w:r>
          </w:p>
        </w:tc>
      </w:tr>
      <w:tr w14:paraId="3778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34" w:type="dxa"/>
            <w:vMerge w:val="continue"/>
            <w:vAlign w:val="center"/>
          </w:tcPr>
          <w:p w14:paraId="48D7C65A">
            <w:pPr>
              <w:widowControl/>
              <w:adjustRightInd w:val="0"/>
              <w:snapToGrid w:val="0"/>
              <w:jc w:val="both"/>
              <w:rPr>
                <w:rFonts w:ascii="仿宋" w:hAnsi="仿宋" w:eastAsia="仿宋" w:cs="Arial"/>
                <w:color w:val="auto"/>
                <w:szCs w:val="21"/>
              </w:rPr>
            </w:pPr>
          </w:p>
        </w:tc>
        <w:tc>
          <w:tcPr>
            <w:tcW w:w="1297" w:type="dxa"/>
            <w:gridSpan w:val="2"/>
            <w:vAlign w:val="center"/>
          </w:tcPr>
          <w:p w14:paraId="7E65A16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169" w:type="dxa"/>
            <w:gridSpan w:val="3"/>
            <w:vAlign w:val="center"/>
          </w:tcPr>
          <w:p w14:paraId="1043A5F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w:t>
            </w:r>
            <w:r>
              <w:rPr>
                <w:rFonts w:hint="eastAsia" w:ascii="仿宋" w:hAnsi="仿宋" w:eastAsia="仿宋" w:cs="Arial"/>
                <w:b/>
                <w:bCs/>
                <w:color w:val="auto"/>
                <w:szCs w:val="21"/>
                <w:lang w:eastAsia="zh-CN"/>
              </w:rPr>
              <w:t>中华人民共和国疫苗管理法</w:t>
            </w:r>
            <w:r>
              <w:rPr>
                <w:rFonts w:hint="eastAsia" w:ascii="仿宋" w:hAnsi="仿宋" w:eastAsia="仿宋" w:cs="Arial"/>
                <w:b/>
                <w:bCs/>
                <w:color w:val="auto"/>
                <w:szCs w:val="21"/>
              </w:rPr>
              <w:t>》第八十六条第一款：</w:t>
            </w:r>
            <w:r>
              <w:rPr>
                <w:rFonts w:hint="eastAsia" w:ascii="仿宋" w:hAnsi="仿宋" w:eastAsia="仿宋" w:cs="Arial"/>
                <w:color w:val="auto"/>
                <w:szCs w:val="21"/>
              </w:rPr>
              <w:t>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w:t>
            </w:r>
          </w:p>
        </w:tc>
      </w:tr>
      <w:tr w14:paraId="3CBF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Merge w:val="continue"/>
            <w:vAlign w:val="center"/>
          </w:tcPr>
          <w:p w14:paraId="7D4B3D49">
            <w:pPr>
              <w:widowControl/>
              <w:adjustRightInd w:val="0"/>
              <w:snapToGrid w:val="0"/>
              <w:jc w:val="both"/>
              <w:rPr>
                <w:rFonts w:ascii="仿宋" w:hAnsi="仿宋" w:eastAsia="仿宋" w:cs="Arial"/>
                <w:color w:val="auto"/>
                <w:szCs w:val="21"/>
              </w:rPr>
            </w:pPr>
          </w:p>
        </w:tc>
        <w:tc>
          <w:tcPr>
            <w:tcW w:w="1297" w:type="dxa"/>
            <w:gridSpan w:val="2"/>
            <w:vAlign w:val="center"/>
          </w:tcPr>
          <w:p w14:paraId="7CA009FC">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4408" w:type="dxa"/>
            <w:vAlign w:val="center"/>
          </w:tcPr>
          <w:p w14:paraId="3C4C4B5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635" w:type="dxa"/>
            <w:vAlign w:val="center"/>
          </w:tcPr>
          <w:p w14:paraId="0154D5C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5126" w:type="dxa"/>
            <w:vAlign w:val="center"/>
          </w:tcPr>
          <w:p w14:paraId="27E46F2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2F90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4" w:type="dxa"/>
            <w:vMerge w:val="continue"/>
            <w:vAlign w:val="center"/>
          </w:tcPr>
          <w:p w14:paraId="2B11A447">
            <w:pPr>
              <w:widowControl/>
              <w:adjustRightInd w:val="0"/>
              <w:snapToGrid w:val="0"/>
              <w:jc w:val="both"/>
              <w:rPr>
                <w:rFonts w:ascii="仿宋" w:hAnsi="仿宋" w:eastAsia="仿宋" w:cs="Arial"/>
                <w:color w:val="auto"/>
                <w:szCs w:val="21"/>
              </w:rPr>
            </w:pPr>
          </w:p>
        </w:tc>
        <w:tc>
          <w:tcPr>
            <w:tcW w:w="1297" w:type="dxa"/>
            <w:gridSpan w:val="2"/>
            <w:vAlign w:val="center"/>
          </w:tcPr>
          <w:p w14:paraId="2C732F0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4408" w:type="dxa"/>
            <w:vAlign w:val="center"/>
          </w:tcPr>
          <w:p w14:paraId="259338B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635" w:type="dxa"/>
            <w:vAlign w:val="center"/>
          </w:tcPr>
          <w:p w14:paraId="771983F8">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5126" w:type="dxa"/>
            <w:vAlign w:val="center"/>
          </w:tcPr>
          <w:p w14:paraId="410B0018">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p w14:paraId="366DC0FA">
            <w:pPr>
              <w:widowControl/>
              <w:adjustRightInd w:val="0"/>
              <w:snapToGrid w:val="0"/>
              <w:jc w:val="both"/>
              <w:rPr>
                <w:rFonts w:ascii="仿宋" w:hAnsi="仿宋" w:eastAsia="仿宋" w:cs="Arial"/>
                <w:color w:val="auto"/>
                <w:szCs w:val="21"/>
              </w:rPr>
            </w:pPr>
          </w:p>
        </w:tc>
      </w:tr>
      <w:tr w14:paraId="18BE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4" w:type="dxa"/>
            <w:vMerge w:val="continue"/>
            <w:vAlign w:val="center"/>
          </w:tcPr>
          <w:p w14:paraId="0B553152">
            <w:pPr>
              <w:widowControl/>
              <w:adjustRightInd w:val="0"/>
              <w:snapToGrid w:val="0"/>
              <w:jc w:val="both"/>
              <w:rPr>
                <w:rFonts w:ascii="仿宋" w:hAnsi="仿宋" w:eastAsia="仿宋" w:cs="Arial"/>
                <w:color w:val="auto"/>
                <w:szCs w:val="21"/>
              </w:rPr>
            </w:pPr>
          </w:p>
        </w:tc>
        <w:tc>
          <w:tcPr>
            <w:tcW w:w="648" w:type="dxa"/>
            <w:vMerge w:val="restart"/>
            <w:vAlign w:val="center"/>
          </w:tcPr>
          <w:p w14:paraId="129DC81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w:t>
            </w:r>
          </w:p>
          <w:p w14:paraId="3749D87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量</w:t>
            </w:r>
          </w:p>
          <w:p w14:paraId="2A8FC28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基</w:t>
            </w:r>
          </w:p>
          <w:p w14:paraId="7DC3391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准</w:t>
            </w:r>
          </w:p>
        </w:tc>
        <w:tc>
          <w:tcPr>
            <w:tcW w:w="649" w:type="dxa"/>
            <w:vMerge w:val="restart"/>
            <w:vAlign w:val="center"/>
          </w:tcPr>
          <w:p w14:paraId="21F4C6B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p w14:paraId="196DBC9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情形</w:t>
            </w:r>
          </w:p>
        </w:tc>
        <w:tc>
          <w:tcPr>
            <w:tcW w:w="4408" w:type="dxa"/>
            <w:vAlign w:val="center"/>
          </w:tcPr>
          <w:p w14:paraId="17B0F528">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责令改正，给予警告，没收违法所得。</w:t>
            </w:r>
          </w:p>
        </w:tc>
        <w:tc>
          <w:tcPr>
            <w:tcW w:w="2635" w:type="dxa"/>
            <w:vAlign w:val="center"/>
          </w:tcPr>
          <w:p w14:paraId="5021813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责令改正，给予警告，没收违法所得。</w:t>
            </w:r>
          </w:p>
        </w:tc>
        <w:tc>
          <w:tcPr>
            <w:tcW w:w="5126" w:type="dxa"/>
            <w:vAlign w:val="center"/>
          </w:tcPr>
          <w:p w14:paraId="56B7E1D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责令改正，给予警告，没收违法所得。</w:t>
            </w:r>
          </w:p>
        </w:tc>
      </w:tr>
      <w:tr w14:paraId="5CCA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534" w:type="dxa"/>
            <w:vMerge w:val="continue"/>
            <w:vAlign w:val="center"/>
          </w:tcPr>
          <w:p w14:paraId="08E4D653">
            <w:pPr>
              <w:widowControl/>
              <w:adjustRightInd w:val="0"/>
              <w:snapToGrid w:val="0"/>
              <w:jc w:val="both"/>
              <w:rPr>
                <w:rFonts w:ascii="仿宋" w:hAnsi="仿宋" w:eastAsia="仿宋" w:cs="Arial"/>
                <w:color w:val="auto"/>
                <w:szCs w:val="21"/>
              </w:rPr>
            </w:pPr>
          </w:p>
        </w:tc>
        <w:tc>
          <w:tcPr>
            <w:tcW w:w="648" w:type="dxa"/>
            <w:vMerge w:val="continue"/>
            <w:vAlign w:val="center"/>
          </w:tcPr>
          <w:p w14:paraId="70E90CCB">
            <w:pPr>
              <w:widowControl/>
              <w:adjustRightInd w:val="0"/>
              <w:snapToGrid w:val="0"/>
              <w:jc w:val="both"/>
              <w:rPr>
                <w:rFonts w:ascii="仿宋" w:hAnsi="仿宋" w:eastAsia="仿宋" w:cs="Arial"/>
                <w:color w:val="auto"/>
                <w:szCs w:val="21"/>
              </w:rPr>
            </w:pPr>
          </w:p>
        </w:tc>
        <w:tc>
          <w:tcPr>
            <w:tcW w:w="649" w:type="dxa"/>
            <w:vMerge w:val="continue"/>
            <w:vAlign w:val="center"/>
          </w:tcPr>
          <w:p w14:paraId="43348AB0">
            <w:pPr>
              <w:widowControl/>
              <w:adjustRightInd w:val="0"/>
              <w:snapToGrid w:val="0"/>
              <w:jc w:val="both"/>
              <w:rPr>
                <w:rFonts w:ascii="仿宋" w:hAnsi="仿宋" w:eastAsia="仿宋" w:cs="Arial"/>
                <w:color w:val="auto"/>
                <w:szCs w:val="21"/>
              </w:rPr>
            </w:pPr>
          </w:p>
        </w:tc>
        <w:tc>
          <w:tcPr>
            <w:tcW w:w="4408" w:type="dxa"/>
            <w:vAlign w:val="center"/>
          </w:tcPr>
          <w:p w14:paraId="2DACDDC9">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拒不改正的，对接种单位、疫苗上市许可持有人、疫苗配送单位处10万元以上16万元以下的罚款。</w:t>
            </w:r>
          </w:p>
        </w:tc>
        <w:tc>
          <w:tcPr>
            <w:tcW w:w="2635" w:type="dxa"/>
            <w:vAlign w:val="center"/>
          </w:tcPr>
          <w:p w14:paraId="3903388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拒不改正的，对接种单位、疫苗上市许可持有人、疫苗配送单位处16万元以上24万元以下的罚款。</w:t>
            </w:r>
          </w:p>
        </w:tc>
        <w:tc>
          <w:tcPr>
            <w:tcW w:w="5126" w:type="dxa"/>
            <w:vAlign w:val="center"/>
          </w:tcPr>
          <w:p w14:paraId="7D2A945E">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拒不改正的，对接种单位、疫苗上市许可持有人、疫苗配送单位处24万元以上30万元以下的罚款。</w:t>
            </w:r>
          </w:p>
        </w:tc>
      </w:tr>
      <w:tr w14:paraId="39AD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534" w:type="dxa"/>
            <w:vMerge w:val="continue"/>
            <w:vAlign w:val="center"/>
          </w:tcPr>
          <w:p w14:paraId="547C06EA">
            <w:pPr>
              <w:widowControl/>
              <w:adjustRightInd w:val="0"/>
              <w:snapToGrid w:val="0"/>
              <w:jc w:val="both"/>
              <w:rPr>
                <w:rFonts w:ascii="仿宋" w:hAnsi="仿宋" w:eastAsia="仿宋" w:cs="Arial"/>
                <w:color w:val="auto"/>
                <w:szCs w:val="21"/>
              </w:rPr>
            </w:pPr>
          </w:p>
        </w:tc>
        <w:tc>
          <w:tcPr>
            <w:tcW w:w="648" w:type="dxa"/>
            <w:vMerge w:val="continue"/>
            <w:vAlign w:val="center"/>
          </w:tcPr>
          <w:p w14:paraId="640AF209">
            <w:pPr>
              <w:widowControl/>
              <w:adjustRightInd w:val="0"/>
              <w:snapToGrid w:val="0"/>
              <w:jc w:val="both"/>
              <w:rPr>
                <w:rFonts w:ascii="仿宋" w:hAnsi="仿宋" w:eastAsia="仿宋" w:cs="Arial"/>
                <w:color w:val="auto"/>
                <w:szCs w:val="21"/>
              </w:rPr>
            </w:pPr>
          </w:p>
        </w:tc>
        <w:tc>
          <w:tcPr>
            <w:tcW w:w="649" w:type="dxa"/>
            <w:vAlign w:val="center"/>
          </w:tcPr>
          <w:p w14:paraId="6D4D221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情节</w:t>
            </w:r>
          </w:p>
          <w:p w14:paraId="05C9898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严重</w:t>
            </w:r>
          </w:p>
        </w:tc>
        <w:tc>
          <w:tcPr>
            <w:tcW w:w="4408" w:type="dxa"/>
            <w:vAlign w:val="center"/>
          </w:tcPr>
          <w:p w14:paraId="2CD47357">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对接种单位、疫苗上市许可持有人、疫苗配送单位处违法储存、运输疫苗货值金额3倍以上5.1倍以下的罚款；</w:t>
            </w:r>
          </w:p>
          <w:p w14:paraId="59E7054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p w14:paraId="09BA9833">
            <w:pPr>
              <w:widowControl/>
              <w:adjustRightInd w:val="0"/>
              <w:snapToGrid w:val="0"/>
              <w:jc w:val="both"/>
              <w:rPr>
                <w:rFonts w:ascii="仿宋" w:hAnsi="仿宋" w:eastAsia="仿宋" w:cs="Arial"/>
                <w:color w:val="auto"/>
                <w:szCs w:val="21"/>
              </w:rPr>
            </w:pPr>
          </w:p>
        </w:tc>
        <w:tc>
          <w:tcPr>
            <w:tcW w:w="2635" w:type="dxa"/>
            <w:vAlign w:val="center"/>
          </w:tcPr>
          <w:p w14:paraId="3D3FCEB4">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对接种单位、疫苗上市许可持有人、疫苗配送单位处违法储存、运输疫苗货值金额5.1倍以上7.9倍以下的罚款；</w:t>
            </w:r>
          </w:p>
          <w:p w14:paraId="7A19432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tc>
        <w:tc>
          <w:tcPr>
            <w:tcW w:w="5126" w:type="dxa"/>
            <w:vAlign w:val="center"/>
          </w:tcPr>
          <w:p w14:paraId="2EDA521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对接种单位、疫苗上市许可持有人、疫苗配送单位处违法储存、运输疫苗货值金额7.9倍以上10倍以下的罚款；</w:t>
            </w:r>
          </w:p>
          <w:p w14:paraId="3DD806BE">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p w14:paraId="4CB91C1D">
            <w:pPr>
              <w:widowControl/>
              <w:adjustRightInd w:val="0"/>
              <w:snapToGrid w:val="0"/>
              <w:jc w:val="both"/>
              <w:rPr>
                <w:rFonts w:ascii="仿宋" w:hAnsi="仿宋" w:eastAsia="仿宋" w:cs="Arial"/>
                <w:color w:val="auto"/>
                <w:szCs w:val="21"/>
              </w:rPr>
            </w:pPr>
          </w:p>
        </w:tc>
      </w:tr>
    </w:tbl>
    <w:p w14:paraId="74F34846">
      <w:pPr>
        <w:widowControl/>
        <w:tabs>
          <w:tab w:val="left" w:pos="872"/>
          <w:tab w:val="left" w:pos="1529"/>
          <w:tab w:val="left" w:pos="2486"/>
          <w:tab w:val="left" w:pos="6316"/>
          <w:tab w:val="left" w:pos="8897"/>
          <w:tab w:val="left" w:pos="13841"/>
        </w:tabs>
        <w:adjustRightInd w:val="0"/>
        <w:snapToGrid w:val="0"/>
        <w:jc w:val="both"/>
        <w:rPr>
          <w:rFonts w:ascii="仿宋" w:hAnsi="仿宋" w:eastAsia="仿宋" w:cs="宋体"/>
          <w:color w:val="auto"/>
          <w:szCs w:val="21"/>
        </w:rPr>
      </w:pPr>
    </w:p>
    <w:tbl>
      <w:tblPr>
        <w:tblStyle w:val="6"/>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3007"/>
        <w:gridCol w:w="2673"/>
        <w:gridCol w:w="3082"/>
        <w:gridCol w:w="3429"/>
      </w:tblGrid>
      <w:tr w14:paraId="2061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534" w:type="dxa"/>
            <w:vMerge w:val="restart"/>
            <w:vAlign w:val="center"/>
          </w:tcPr>
          <w:p w14:paraId="32D2A45C">
            <w:pPr>
              <w:widowControl/>
              <w:adjustRightInd w:val="0"/>
              <w:snapToGrid w:val="0"/>
              <w:jc w:val="both"/>
              <w:rPr>
                <w:rFonts w:ascii="仿宋" w:hAnsi="仿宋" w:eastAsia="仿宋" w:cs="Arial"/>
                <w:b/>
                <w:color w:val="auto"/>
                <w:szCs w:val="21"/>
              </w:rPr>
            </w:pPr>
            <w:r>
              <w:rPr>
                <w:rFonts w:hint="eastAsia" w:ascii="仿宋" w:hAnsi="仿宋" w:eastAsia="仿宋" w:cs="宋体"/>
                <w:b/>
                <w:color w:val="auto"/>
                <w:szCs w:val="21"/>
              </w:rPr>
              <w:t>27</w:t>
            </w:r>
          </w:p>
        </w:tc>
        <w:tc>
          <w:tcPr>
            <w:tcW w:w="1275" w:type="dxa"/>
            <w:vAlign w:val="center"/>
          </w:tcPr>
          <w:p w14:paraId="506A4951">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191" w:type="dxa"/>
            <w:gridSpan w:val="4"/>
            <w:vAlign w:val="center"/>
          </w:tcPr>
          <w:p w14:paraId="7197268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违反《药品注册管理办法》第一百一十六条的行为</w:t>
            </w:r>
          </w:p>
        </w:tc>
      </w:tr>
      <w:tr w14:paraId="38AF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vAlign w:val="center"/>
          </w:tcPr>
          <w:p w14:paraId="70A052F8">
            <w:pPr>
              <w:widowControl/>
              <w:adjustRightInd w:val="0"/>
              <w:snapToGrid w:val="0"/>
              <w:jc w:val="both"/>
              <w:rPr>
                <w:rFonts w:ascii="仿宋" w:hAnsi="仿宋" w:eastAsia="仿宋" w:cs="Arial"/>
                <w:color w:val="auto"/>
                <w:szCs w:val="21"/>
              </w:rPr>
            </w:pPr>
          </w:p>
        </w:tc>
        <w:tc>
          <w:tcPr>
            <w:tcW w:w="1275" w:type="dxa"/>
            <w:vAlign w:val="center"/>
          </w:tcPr>
          <w:p w14:paraId="44D24C2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191" w:type="dxa"/>
            <w:gridSpan w:val="4"/>
            <w:vAlign w:val="center"/>
          </w:tcPr>
          <w:p w14:paraId="3E145B00">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《药品注册管理办法》第一百一十六条：</w:t>
            </w:r>
            <w:r>
              <w:rPr>
                <w:rFonts w:hint="eastAsia" w:ascii="仿宋" w:hAnsi="仿宋" w:eastAsia="仿宋" w:cs="Arial"/>
                <w:color w:val="auto"/>
                <w:szCs w:val="21"/>
              </w:rPr>
              <w:t>违反本办法第二十八条、第三十三条规定，申办者有下列情形之一的，责令限期改正；逾期不改正的，处一万元以上三万元以下罚款：</w:t>
            </w:r>
          </w:p>
          <w:p w14:paraId="5E2A0F0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（一）开展药物临床试验前未按规定在药物临床试验登记与信息公示平台进行登记；</w:t>
            </w:r>
          </w:p>
          <w:p w14:paraId="15765F7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（二）未按规定提交研发期间安全性更新报告；</w:t>
            </w:r>
          </w:p>
          <w:p w14:paraId="1A669D1A">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（三）药物临床试验结束后未登记临床试验结果等信息。</w:t>
            </w:r>
          </w:p>
        </w:tc>
      </w:tr>
      <w:tr w14:paraId="6799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vAlign w:val="center"/>
          </w:tcPr>
          <w:p w14:paraId="2EC4EE1F">
            <w:pPr>
              <w:widowControl/>
              <w:adjustRightInd w:val="0"/>
              <w:snapToGrid w:val="0"/>
              <w:jc w:val="both"/>
              <w:rPr>
                <w:rFonts w:ascii="仿宋" w:hAnsi="仿宋" w:eastAsia="仿宋" w:cs="Arial"/>
                <w:color w:val="auto"/>
                <w:szCs w:val="21"/>
              </w:rPr>
            </w:pPr>
          </w:p>
        </w:tc>
        <w:tc>
          <w:tcPr>
            <w:tcW w:w="1275" w:type="dxa"/>
            <w:vAlign w:val="center"/>
          </w:tcPr>
          <w:p w14:paraId="00BDA2D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3007" w:type="dxa"/>
            <w:vAlign w:val="center"/>
          </w:tcPr>
          <w:p w14:paraId="6AA2C0E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673" w:type="dxa"/>
            <w:vAlign w:val="center"/>
          </w:tcPr>
          <w:p w14:paraId="5781843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3082" w:type="dxa"/>
            <w:vAlign w:val="center"/>
          </w:tcPr>
          <w:p w14:paraId="78874A7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3429" w:type="dxa"/>
            <w:vAlign w:val="center"/>
          </w:tcPr>
          <w:p w14:paraId="0434F66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3165E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vAlign w:val="center"/>
          </w:tcPr>
          <w:p w14:paraId="1E3A4781">
            <w:pPr>
              <w:widowControl/>
              <w:adjustRightInd w:val="0"/>
              <w:snapToGrid w:val="0"/>
              <w:jc w:val="both"/>
              <w:rPr>
                <w:rFonts w:ascii="仿宋" w:hAnsi="仿宋" w:eastAsia="仿宋" w:cs="Arial"/>
                <w:color w:val="auto"/>
                <w:szCs w:val="21"/>
              </w:rPr>
            </w:pPr>
          </w:p>
        </w:tc>
        <w:tc>
          <w:tcPr>
            <w:tcW w:w="1275" w:type="dxa"/>
            <w:vAlign w:val="center"/>
          </w:tcPr>
          <w:p w14:paraId="7028447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3007" w:type="dxa"/>
            <w:vAlign w:val="center"/>
          </w:tcPr>
          <w:p w14:paraId="58A964C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673" w:type="dxa"/>
            <w:vAlign w:val="center"/>
          </w:tcPr>
          <w:p w14:paraId="5B92A0F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082" w:type="dxa"/>
            <w:vAlign w:val="center"/>
          </w:tcPr>
          <w:p w14:paraId="4341307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429" w:type="dxa"/>
            <w:vAlign w:val="center"/>
          </w:tcPr>
          <w:p w14:paraId="680EF832">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5E9C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vAlign w:val="center"/>
          </w:tcPr>
          <w:p w14:paraId="1A20ADDE">
            <w:pPr>
              <w:widowControl/>
              <w:adjustRightInd w:val="0"/>
              <w:snapToGrid w:val="0"/>
              <w:jc w:val="both"/>
              <w:rPr>
                <w:rFonts w:ascii="仿宋" w:hAnsi="仿宋" w:eastAsia="仿宋" w:cs="Arial"/>
                <w:color w:val="auto"/>
                <w:szCs w:val="21"/>
              </w:rPr>
            </w:pPr>
          </w:p>
        </w:tc>
        <w:tc>
          <w:tcPr>
            <w:tcW w:w="1275" w:type="dxa"/>
            <w:vMerge w:val="restart"/>
            <w:vAlign w:val="center"/>
          </w:tcPr>
          <w:p w14:paraId="192016FD">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3007" w:type="dxa"/>
            <w:vAlign w:val="center"/>
          </w:tcPr>
          <w:p w14:paraId="510D76F7">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w:t>
            </w:r>
          </w:p>
        </w:tc>
        <w:tc>
          <w:tcPr>
            <w:tcW w:w="2673" w:type="dxa"/>
            <w:vAlign w:val="center"/>
          </w:tcPr>
          <w:p w14:paraId="1D94795E">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w:t>
            </w:r>
          </w:p>
        </w:tc>
        <w:tc>
          <w:tcPr>
            <w:tcW w:w="3082" w:type="dxa"/>
            <w:vAlign w:val="center"/>
          </w:tcPr>
          <w:p w14:paraId="2285F1B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w:t>
            </w:r>
          </w:p>
        </w:tc>
        <w:tc>
          <w:tcPr>
            <w:tcW w:w="3429" w:type="dxa"/>
            <w:vAlign w:val="center"/>
          </w:tcPr>
          <w:p w14:paraId="7062DB7E">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责令限期改正。</w:t>
            </w:r>
          </w:p>
        </w:tc>
      </w:tr>
      <w:tr w14:paraId="15B4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tcPr>
          <w:p w14:paraId="6BE79C31">
            <w:pPr>
              <w:widowControl/>
              <w:adjustRightInd w:val="0"/>
              <w:snapToGrid w:val="0"/>
              <w:jc w:val="both"/>
              <w:rPr>
                <w:rFonts w:ascii="仿宋" w:hAnsi="仿宋" w:eastAsia="仿宋" w:cs="Arial"/>
                <w:color w:val="auto"/>
                <w:szCs w:val="21"/>
              </w:rPr>
            </w:pPr>
          </w:p>
        </w:tc>
        <w:tc>
          <w:tcPr>
            <w:tcW w:w="1275" w:type="dxa"/>
            <w:vMerge w:val="continue"/>
          </w:tcPr>
          <w:p w14:paraId="363F6BD3">
            <w:pPr>
              <w:widowControl/>
              <w:adjustRightInd w:val="0"/>
              <w:snapToGrid w:val="0"/>
              <w:jc w:val="both"/>
              <w:rPr>
                <w:rFonts w:ascii="仿宋" w:hAnsi="仿宋" w:eastAsia="仿宋" w:cs="Arial"/>
                <w:color w:val="auto"/>
                <w:szCs w:val="21"/>
              </w:rPr>
            </w:pPr>
          </w:p>
        </w:tc>
        <w:tc>
          <w:tcPr>
            <w:tcW w:w="3007" w:type="dxa"/>
            <w:vAlign w:val="center"/>
          </w:tcPr>
          <w:p w14:paraId="7BC17E22">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逾期不改正的，处0.1万元以上1万元以下的罚款。</w:t>
            </w:r>
          </w:p>
        </w:tc>
        <w:tc>
          <w:tcPr>
            <w:tcW w:w="2673" w:type="dxa"/>
            <w:vAlign w:val="center"/>
          </w:tcPr>
          <w:p w14:paraId="1799F99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逾期不改正的，处1万元以上1.6万元以下的罚款。</w:t>
            </w:r>
          </w:p>
        </w:tc>
        <w:tc>
          <w:tcPr>
            <w:tcW w:w="3082" w:type="dxa"/>
            <w:vAlign w:val="center"/>
          </w:tcPr>
          <w:p w14:paraId="7D5B8734">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逾期不改正的，处1.6万元以上2.4万元以下的罚款。</w:t>
            </w:r>
          </w:p>
        </w:tc>
        <w:tc>
          <w:tcPr>
            <w:tcW w:w="3429" w:type="dxa"/>
            <w:vAlign w:val="center"/>
          </w:tcPr>
          <w:p w14:paraId="5B26E00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逾期不改正的，处2.4万元以上3万元以下的罚款。</w:t>
            </w:r>
          </w:p>
        </w:tc>
      </w:tr>
    </w:tbl>
    <w:p w14:paraId="1667DDE6">
      <w:pPr>
        <w:widowControl/>
        <w:tabs>
          <w:tab w:val="left" w:pos="223"/>
          <w:tab w:val="left" w:pos="859"/>
          <w:tab w:val="left" w:pos="2548"/>
          <w:tab w:val="left" w:pos="5024"/>
          <w:tab w:val="left" w:pos="7688"/>
          <w:tab w:val="left" w:pos="10759"/>
        </w:tabs>
        <w:adjustRightInd w:val="0"/>
        <w:snapToGrid w:val="0"/>
        <w:jc w:val="both"/>
        <w:rPr>
          <w:rFonts w:ascii="仿宋" w:hAnsi="仿宋" w:eastAsia="仿宋" w:cs="Arial"/>
          <w:color w:val="auto"/>
          <w:szCs w:val="21"/>
        </w:rPr>
      </w:pPr>
    </w:p>
    <w:tbl>
      <w:tblPr>
        <w:tblStyle w:val="6"/>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3258"/>
        <w:gridCol w:w="2999"/>
        <w:gridCol w:w="2998"/>
        <w:gridCol w:w="2936"/>
      </w:tblGrid>
      <w:tr w14:paraId="17F7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534" w:type="dxa"/>
            <w:vMerge w:val="restart"/>
            <w:vAlign w:val="center"/>
          </w:tcPr>
          <w:p w14:paraId="5F978C16">
            <w:pPr>
              <w:widowControl/>
              <w:adjustRightInd w:val="0"/>
              <w:snapToGrid w:val="0"/>
              <w:jc w:val="both"/>
              <w:rPr>
                <w:rFonts w:ascii="仿宋" w:hAnsi="仿宋" w:eastAsia="仿宋" w:cs="Arial"/>
                <w:b/>
                <w:color w:val="auto"/>
                <w:szCs w:val="21"/>
              </w:rPr>
            </w:pPr>
            <w:r>
              <w:rPr>
                <w:rFonts w:hint="eastAsia" w:ascii="仿宋" w:hAnsi="仿宋" w:eastAsia="仿宋" w:cs="Arial"/>
                <w:b/>
                <w:color w:val="auto"/>
                <w:szCs w:val="21"/>
              </w:rPr>
              <w:t>28</w:t>
            </w:r>
          </w:p>
        </w:tc>
        <w:tc>
          <w:tcPr>
            <w:tcW w:w="1275" w:type="dxa"/>
            <w:vAlign w:val="center"/>
          </w:tcPr>
          <w:p w14:paraId="755ECC15">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违法行为</w:t>
            </w:r>
          </w:p>
        </w:tc>
        <w:tc>
          <w:tcPr>
            <w:tcW w:w="12191" w:type="dxa"/>
            <w:gridSpan w:val="4"/>
            <w:vAlign w:val="center"/>
          </w:tcPr>
          <w:p w14:paraId="07279BD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违反《药品生产监督管理办法》第七十一条的处罚</w:t>
            </w:r>
          </w:p>
        </w:tc>
      </w:tr>
      <w:tr w14:paraId="7F7D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vAlign w:val="center"/>
          </w:tcPr>
          <w:p w14:paraId="61AEED05">
            <w:pPr>
              <w:widowControl/>
              <w:adjustRightInd w:val="0"/>
              <w:snapToGrid w:val="0"/>
              <w:jc w:val="both"/>
              <w:rPr>
                <w:rFonts w:ascii="仿宋" w:hAnsi="仿宋" w:eastAsia="仿宋" w:cs="Arial"/>
                <w:color w:val="auto"/>
                <w:szCs w:val="21"/>
              </w:rPr>
            </w:pPr>
          </w:p>
        </w:tc>
        <w:tc>
          <w:tcPr>
            <w:tcW w:w="1275" w:type="dxa"/>
            <w:vAlign w:val="center"/>
          </w:tcPr>
          <w:p w14:paraId="5E1A19D8">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处罚依据</w:t>
            </w:r>
          </w:p>
        </w:tc>
        <w:tc>
          <w:tcPr>
            <w:tcW w:w="12191" w:type="dxa"/>
            <w:gridSpan w:val="4"/>
            <w:vAlign w:val="center"/>
          </w:tcPr>
          <w:p w14:paraId="23636423">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《药品生产监督管理办法》第七十一条：</w:t>
            </w:r>
            <w:r>
              <w:rPr>
                <w:rFonts w:hint="eastAsia" w:ascii="仿宋" w:hAnsi="仿宋" w:eastAsia="仿宋" w:cs="Arial"/>
                <w:color w:val="auto"/>
                <w:szCs w:val="21"/>
              </w:rPr>
              <w:t>药品上市许可持有人和药品生产企业有下列情形之一的，由所在地省、自治区、直辖市药品监督管理部门处一万元以上三万元以下的罚款：</w:t>
            </w:r>
          </w:p>
          <w:p w14:paraId="4274C3BA">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（一）企业名称、住所（经营场所）、法定代表人未按规定办理登记事项变更；</w:t>
            </w:r>
          </w:p>
          <w:p w14:paraId="2ACA025F">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（二）未按照规定每年对直接接触药品的工作人员进行健康检查并建立健康档案；</w:t>
            </w:r>
          </w:p>
          <w:p w14:paraId="6F82D2D9">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（三）未按照规定对列入国家实施停产报告的短缺药品清单的药品进行停产报告。</w:t>
            </w:r>
          </w:p>
        </w:tc>
      </w:tr>
      <w:tr w14:paraId="47CE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vAlign w:val="center"/>
          </w:tcPr>
          <w:p w14:paraId="6A2907DF">
            <w:pPr>
              <w:widowControl/>
              <w:adjustRightInd w:val="0"/>
              <w:snapToGrid w:val="0"/>
              <w:jc w:val="both"/>
              <w:rPr>
                <w:rFonts w:ascii="仿宋" w:hAnsi="仿宋" w:eastAsia="仿宋" w:cs="Arial"/>
                <w:color w:val="auto"/>
                <w:szCs w:val="21"/>
              </w:rPr>
            </w:pPr>
          </w:p>
        </w:tc>
        <w:tc>
          <w:tcPr>
            <w:tcW w:w="1275" w:type="dxa"/>
            <w:vAlign w:val="center"/>
          </w:tcPr>
          <w:p w14:paraId="275B8406">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裁量等级</w:t>
            </w:r>
          </w:p>
        </w:tc>
        <w:tc>
          <w:tcPr>
            <w:tcW w:w="3258" w:type="dxa"/>
            <w:vAlign w:val="center"/>
          </w:tcPr>
          <w:p w14:paraId="34F10219">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减轻</w:t>
            </w:r>
          </w:p>
        </w:tc>
        <w:tc>
          <w:tcPr>
            <w:tcW w:w="2999" w:type="dxa"/>
            <w:vAlign w:val="center"/>
          </w:tcPr>
          <w:p w14:paraId="7AE54CA2">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从轻</w:t>
            </w:r>
          </w:p>
        </w:tc>
        <w:tc>
          <w:tcPr>
            <w:tcW w:w="2998" w:type="dxa"/>
            <w:vAlign w:val="center"/>
          </w:tcPr>
          <w:p w14:paraId="26F51F7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一般</w:t>
            </w:r>
          </w:p>
        </w:tc>
        <w:tc>
          <w:tcPr>
            <w:tcW w:w="2936" w:type="dxa"/>
            <w:vAlign w:val="center"/>
          </w:tcPr>
          <w:p w14:paraId="5107A4BB">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从重</w:t>
            </w:r>
          </w:p>
        </w:tc>
      </w:tr>
      <w:tr w14:paraId="0791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vAlign w:val="center"/>
          </w:tcPr>
          <w:p w14:paraId="42A57FC3">
            <w:pPr>
              <w:widowControl/>
              <w:adjustRightInd w:val="0"/>
              <w:snapToGrid w:val="0"/>
              <w:jc w:val="both"/>
              <w:rPr>
                <w:rFonts w:ascii="仿宋" w:hAnsi="仿宋" w:eastAsia="仿宋" w:cs="Arial"/>
                <w:color w:val="auto"/>
                <w:szCs w:val="21"/>
              </w:rPr>
            </w:pPr>
          </w:p>
        </w:tc>
        <w:tc>
          <w:tcPr>
            <w:tcW w:w="1275" w:type="dxa"/>
            <w:vAlign w:val="center"/>
          </w:tcPr>
          <w:p w14:paraId="5FE145A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裁量情节</w:t>
            </w:r>
          </w:p>
        </w:tc>
        <w:tc>
          <w:tcPr>
            <w:tcW w:w="3258" w:type="dxa"/>
            <w:vAlign w:val="center"/>
          </w:tcPr>
          <w:p w14:paraId="4E57C693">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999" w:type="dxa"/>
            <w:vAlign w:val="center"/>
          </w:tcPr>
          <w:p w14:paraId="2CCD82B1">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998" w:type="dxa"/>
            <w:vAlign w:val="center"/>
          </w:tcPr>
          <w:p w14:paraId="20E2358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2936" w:type="dxa"/>
            <w:vAlign w:val="center"/>
          </w:tcPr>
          <w:p w14:paraId="455B938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14:paraId="6661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vAlign w:val="center"/>
          </w:tcPr>
          <w:p w14:paraId="5583CF06">
            <w:pPr>
              <w:widowControl/>
              <w:adjustRightInd w:val="0"/>
              <w:snapToGrid w:val="0"/>
              <w:jc w:val="both"/>
              <w:rPr>
                <w:rFonts w:ascii="仿宋" w:hAnsi="仿宋" w:eastAsia="仿宋" w:cs="Arial"/>
                <w:color w:val="auto"/>
                <w:szCs w:val="21"/>
              </w:rPr>
            </w:pPr>
          </w:p>
        </w:tc>
        <w:tc>
          <w:tcPr>
            <w:tcW w:w="1275" w:type="dxa"/>
            <w:vMerge w:val="restart"/>
            <w:vAlign w:val="center"/>
          </w:tcPr>
          <w:p w14:paraId="76AB6ADA">
            <w:pPr>
              <w:widowControl/>
              <w:adjustRightInd w:val="0"/>
              <w:snapToGrid w:val="0"/>
              <w:jc w:val="both"/>
              <w:rPr>
                <w:rFonts w:ascii="仿宋" w:hAnsi="仿宋" w:eastAsia="仿宋" w:cs="Arial"/>
                <w:color w:val="auto"/>
                <w:szCs w:val="21"/>
              </w:rPr>
            </w:pPr>
            <w:r>
              <w:rPr>
                <w:rFonts w:hint="eastAsia" w:ascii="仿宋" w:hAnsi="仿宋" w:eastAsia="仿宋" w:cs="Arial"/>
                <w:b/>
                <w:bCs/>
                <w:color w:val="auto"/>
                <w:szCs w:val="21"/>
              </w:rPr>
              <w:t>裁量基准</w:t>
            </w:r>
          </w:p>
        </w:tc>
        <w:tc>
          <w:tcPr>
            <w:tcW w:w="3258" w:type="dxa"/>
            <w:vAlign w:val="center"/>
          </w:tcPr>
          <w:p w14:paraId="6BF46FF5">
            <w:pPr>
              <w:widowControl/>
              <w:adjustRightInd w:val="0"/>
              <w:snapToGrid w:val="0"/>
              <w:jc w:val="both"/>
              <w:rPr>
                <w:rFonts w:ascii="仿宋" w:hAnsi="仿宋" w:eastAsia="仿宋" w:cs="Arial"/>
                <w:color w:val="auto"/>
                <w:szCs w:val="21"/>
              </w:rPr>
            </w:pPr>
          </w:p>
        </w:tc>
        <w:tc>
          <w:tcPr>
            <w:tcW w:w="2999" w:type="dxa"/>
            <w:vAlign w:val="center"/>
          </w:tcPr>
          <w:p w14:paraId="23442A38">
            <w:pPr>
              <w:widowControl/>
              <w:adjustRightInd w:val="0"/>
              <w:snapToGrid w:val="0"/>
              <w:jc w:val="both"/>
              <w:rPr>
                <w:rFonts w:ascii="仿宋" w:hAnsi="仿宋" w:eastAsia="仿宋" w:cs="Arial"/>
                <w:color w:val="auto"/>
                <w:szCs w:val="21"/>
              </w:rPr>
            </w:pPr>
          </w:p>
        </w:tc>
        <w:tc>
          <w:tcPr>
            <w:tcW w:w="2998" w:type="dxa"/>
            <w:vAlign w:val="center"/>
          </w:tcPr>
          <w:p w14:paraId="5A16C975">
            <w:pPr>
              <w:widowControl/>
              <w:adjustRightInd w:val="0"/>
              <w:snapToGrid w:val="0"/>
              <w:jc w:val="both"/>
              <w:rPr>
                <w:rFonts w:ascii="仿宋" w:hAnsi="仿宋" w:eastAsia="仿宋" w:cs="Arial"/>
                <w:color w:val="auto"/>
                <w:szCs w:val="21"/>
              </w:rPr>
            </w:pPr>
          </w:p>
        </w:tc>
        <w:tc>
          <w:tcPr>
            <w:tcW w:w="2936" w:type="dxa"/>
            <w:vAlign w:val="center"/>
          </w:tcPr>
          <w:p w14:paraId="1B64A5C6">
            <w:pPr>
              <w:widowControl/>
              <w:adjustRightInd w:val="0"/>
              <w:snapToGrid w:val="0"/>
              <w:jc w:val="both"/>
              <w:rPr>
                <w:rFonts w:ascii="仿宋" w:hAnsi="仿宋" w:eastAsia="仿宋" w:cs="Arial"/>
                <w:color w:val="auto"/>
                <w:szCs w:val="21"/>
              </w:rPr>
            </w:pPr>
          </w:p>
        </w:tc>
      </w:tr>
      <w:tr w14:paraId="3C6F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4" w:type="dxa"/>
            <w:vMerge w:val="continue"/>
          </w:tcPr>
          <w:p w14:paraId="30B4B3FF">
            <w:pPr>
              <w:widowControl/>
              <w:adjustRightInd w:val="0"/>
              <w:snapToGrid w:val="0"/>
              <w:jc w:val="both"/>
              <w:rPr>
                <w:rFonts w:ascii="仿宋" w:hAnsi="仿宋" w:eastAsia="仿宋" w:cs="Arial"/>
                <w:color w:val="auto"/>
                <w:szCs w:val="21"/>
              </w:rPr>
            </w:pPr>
          </w:p>
        </w:tc>
        <w:tc>
          <w:tcPr>
            <w:tcW w:w="1275" w:type="dxa"/>
            <w:vMerge w:val="continue"/>
          </w:tcPr>
          <w:p w14:paraId="531F4E55">
            <w:pPr>
              <w:widowControl/>
              <w:adjustRightInd w:val="0"/>
              <w:snapToGrid w:val="0"/>
              <w:jc w:val="both"/>
              <w:rPr>
                <w:rFonts w:ascii="仿宋" w:hAnsi="仿宋" w:eastAsia="仿宋" w:cs="Arial"/>
                <w:color w:val="auto"/>
                <w:szCs w:val="21"/>
              </w:rPr>
            </w:pPr>
          </w:p>
        </w:tc>
        <w:tc>
          <w:tcPr>
            <w:tcW w:w="3258" w:type="dxa"/>
            <w:vAlign w:val="center"/>
          </w:tcPr>
          <w:p w14:paraId="7475C6BC">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处0.1万元以上1万元以下的罚款。</w:t>
            </w:r>
          </w:p>
        </w:tc>
        <w:tc>
          <w:tcPr>
            <w:tcW w:w="2999" w:type="dxa"/>
            <w:vAlign w:val="center"/>
          </w:tcPr>
          <w:p w14:paraId="26BDA450">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处1万元以上1.6万元以下的罚款。</w:t>
            </w:r>
          </w:p>
        </w:tc>
        <w:tc>
          <w:tcPr>
            <w:tcW w:w="2998" w:type="dxa"/>
            <w:vAlign w:val="center"/>
          </w:tcPr>
          <w:p w14:paraId="20B46DCD">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处1.6万元以上2.4万元以下的罚款。</w:t>
            </w:r>
          </w:p>
        </w:tc>
        <w:tc>
          <w:tcPr>
            <w:tcW w:w="2936" w:type="dxa"/>
            <w:vAlign w:val="center"/>
          </w:tcPr>
          <w:p w14:paraId="3181BA0B">
            <w:pPr>
              <w:widowControl/>
              <w:adjustRightInd w:val="0"/>
              <w:snapToGrid w:val="0"/>
              <w:jc w:val="both"/>
              <w:rPr>
                <w:rFonts w:ascii="仿宋" w:hAnsi="仿宋" w:eastAsia="仿宋" w:cs="Arial"/>
                <w:color w:val="auto"/>
                <w:szCs w:val="21"/>
              </w:rPr>
            </w:pPr>
            <w:r>
              <w:rPr>
                <w:rFonts w:hint="eastAsia" w:ascii="仿宋" w:hAnsi="仿宋" w:eastAsia="仿宋" w:cs="Arial"/>
                <w:color w:val="auto"/>
                <w:szCs w:val="21"/>
              </w:rPr>
              <w:t>处2.4万元以上3万元以下的罚款。</w:t>
            </w:r>
          </w:p>
        </w:tc>
      </w:tr>
    </w:tbl>
    <w:p w14:paraId="4A71DA4D">
      <w:pPr>
        <w:pStyle w:val="2"/>
        <w:ind w:firstLine="440" w:firstLineChars="100"/>
        <w:jc w:val="both"/>
        <w:rPr>
          <w:rFonts w:hint="eastAsia" w:ascii="方正小标宋简体" w:hAnsi="方正小标宋简体" w:eastAsia="方正小标宋简体" w:cs="方正小标宋简体"/>
          <w:color w:val="auto"/>
          <w:lang w:eastAsia="zh-CN"/>
        </w:rPr>
      </w:pPr>
    </w:p>
    <w:p w14:paraId="2364FC90">
      <w:pPr>
        <w:pStyle w:val="2"/>
        <w:ind w:left="0" w:firstLine="0" w:firstLineChars="0"/>
        <w:jc w:val="both"/>
        <w:rPr>
          <w:rFonts w:hint="eastAsia" w:ascii="黑体" w:hAnsi="黑体" w:eastAsia="黑体" w:cs="黑体"/>
          <w:color w:val="auto"/>
          <w:sz w:val="32"/>
          <w:szCs w:val="32"/>
          <w:lang w:eastAsia="zh-CN"/>
        </w:rPr>
      </w:pPr>
    </w:p>
    <w:p w14:paraId="799736F8">
      <w:pPr>
        <w:pStyle w:val="2"/>
        <w:ind w:left="0" w:firstLine="0" w:firstLineChars="0"/>
        <w:jc w:val="both"/>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2：</w:t>
      </w:r>
    </w:p>
    <w:p w14:paraId="1D40B88B">
      <w:pPr>
        <w:pStyle w:val="2"/>
        <w:ind w:firstLine="440" w:firstLineChars="100"/>
        <w:jc w:val="both"/>
        <w:rPr>
          <w:rFonts w:hint="eastAsia" w:ascii="方正小标宋简体" w:hAnsi="方正小标宋简体" w:eastAsia="方正小标宋简体" w:cs="方正小标宋简体"/>
          <w:color w:val="auto"/>
          <w:lang w:eastAsia="zh-CN"/>
        </w:rPr>
      </w:pPr>
    </w:p>
    <w:p w14:paraId="07138EA6">
      <w:pPr>
        <w:pStyle w:val="2"/>
        <w:ind w:firstLine="440" w:firstLineChars="100"/>
        <w:jc w:val="center"/>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lang w:eastAsia="zh-CN"/>
        </w:rPr>
        <w:t>西藏</w:t>
      </w:r>
      <w:r>
        <w:rPr>
          <w:rFonts w:hint="eastAsia" w:ascii="方正小标宋简体" w:hAnsi="方正小标宋简体" w:eastAsia="方正小标宋简体" w:cs="方正小标宋简体"/>
          <w:color w:val="auto"/>
        </w:rPr>
        <w:t>自治区药品监督管理局医疗器械行政处罚裁量基准（试行）</w:t>
      </w:r>
    </w:p>
    <w:p w14:paraId="7E4AECB3">
      <w:pPr>
        <w:pStyle w:val="4"/>
        <w:spacing w:before="18"/>
        <w:ind w:left="6360" w:right="6360"/>
        <w:jc w:val="both"/>
        <w:rPr>
          <w:rFonts w:hint="eastAsia" w:ascii="黑体" w:eastAsia="黑体"/>
          <w:color w:val="auto"/>
        </w:rPr>
      </w:pPr>
      <w:r>
        <w:rPr>
          <w:rFonts w:hint="eastAsia" w:ascii="黑体" w:eastAsia="黑体"/>
          <w:color w:val="auto"/>
        </w:rPr>
        <w:t>使用说明</w:t>
      </w:r>
    </w:p>
    <w:p w14:paraId="15356623">
      <w:pPr>
        <w:pStyle w:val="4"/>
        <w:spacing w:before="2"/>
        <w:jc w:val="both"/>
        <w:rPr>
          <w:rFonts w:ascii="黑体"/>
          <w:color w:val="auto"/>
          <w:sz w:val="26"/>
        </w:rPr>
      </w:pPr>
    </w:p>
    <w:p w14:paraId="4D0DAE93">
      <w:pPr>
        <w:pStyle w:val="4"/>
        <w:spacing w:line="338" w:lineRule="auto"/>
        <w:ind w:left="131" w:right="132" w:firstLine="641"/>
        <w:jc w:val="both"/>
        <w:rPr>
          <w:color w:val="auto"/>
        </w:rPr>
      </w:pPr>
      <w:r>
        <w:rPr>
          <w:color w:val="auto"/>
          <w:spacing w:val="0"/>
        </w:rPr>
        <w:t>一、本基准只涉及医疗器械行政处罚罚款自由裁量适用情形，警告、没收违法物品及违法所得、</w:t>
      </w:r>
      <w:r>
        <w:rPr>
          <w:color w:val="auto"/>
        </w:rPr>
        <w:t>责令停产停业、吊销许可证件、限制从业等不涉及自由裁量的，按照法律法规的规定进行适用。</w:t>
      </w:r>
    </w:p>
    <w:p w14:paraId="3E0E9539">
      <w:pPr>
        <w:pStyle w:val="4"/>
        <w:spacing w:line="338" w:lineRule="auto"/>
        <w:ind w:left="131" w:right="129" w:firstLine="641"/>
        <w:jc w:val="both"/>
        <w:rPr>
          <w:color w:val="auto"/>
        </w:rPr>
      </w:pPr>
      <w:r>
        <w:rPr>
          <w:color w:val="auto"/>
        </w:rPr>
        <w:t>二、本基准内容和语言表述与法律、法规、规章规定不一致的应当以法律、法规、规章规定为准。</w:t>
      </w:r>
    </w:p>
    <w:p w14:paraId="2B723BE4">
      <w:pPr>
        <w:pStyle w:val="4"/>
        <w:spacing w:line="408" w:lineRule="exact"/>
        <w:ind w:left="772"/>
        <w:jc w:val="both"/>
        <w:rPr>
          <w:color w:val="auto"/>
        </w:rPr>
      </w:pPr>
      <w:r>
        <w:rPr>
          <w:color w:val="auto"/>
          <w:spacing w:val="-13"/>
          <w:w w:val="99"/>
        </w:rPr>
        <w:t>三、本裁量基准中“以上”“以下”的含义如下：</w:t>
      </w:r>
    </w:p>
    <w:p w14:paraId="6DCB5052">
      <w:pPr>
        <w:pStyle w:val="4"/>
        <w:spacing w:before="165"/>
        <w:ind w:left="772"/>
        <w:jc w:val="both"/>
        <w:rPr>
          <w:color w:val="auto"/>
        </w:rPr>
      </w:pPr>
      <w:r>
        <w:rPr>
          <w:color w:val="auto"/>
          <w:spacing w:val="2"/>
          <w:w w:val="99"/>
        </w:rPr>
        <w:t>（</w:t>
      </w:r>
      <w:r>
        <w:rPr>
          <w:color w:val="auto"/>
          <w:w w:val="99"/>
        </w:rPr>
        <w:t>一）</w:t>
      </w:r>
      <w:r>
        <w:rPr>
          <w:color w:val="auto"/>
          <w:spacing w:val="-12"/>
          <w:w w:val="99"/>
        </w:rPr>
        <w:t>减轻处罚的“以上”含本数，“以下”不含本数；</w:t>
      </w:r>
    </w:p>
    <w:p w14:paraId="0A393713">
      <w:pPr>
        <w:pStyle w:val="4"/>
        <w:spacing w:before="168"/>
        <w:ind w:left="772"/>
        <w:jc w:val="both"/>
        <w:rPr>
          <w:color w:val="auto"/>
        </w:rPr>
      </w:pPr>
      <w:r>
        <w:rPr>
          <w:color w:val="auto"/>
          <w:spacing w:val="2"/>
          <w:w w:val="99"/>
        </w:rPr>
        <w:t>（</w:t>
      </w:r>
      <w:r>
        <w:rPr>
          <w:color w:val="auto"/>
          <w:w w:val="99"/>
        </w:rPr>
        <w:t>二）</w:t>
      </w:r>
      <w:r>
        <w:rPr>
          <w:color w:val="auto"/>
          <w:spacing w:val="-13"/>
          <w:w w:val="99"/>
        </w:rPr>
        <w:t>从轻、从重处罚的“以上”“以下”均含本数；</w:t>
      </w:r>
    </w:p>
    <w:p w14:paraId="2F74CB75">
      <w:pPr>
        <w:pStyle w:val="4"/>
        <w:spacing w:before="166"/>
        <w:ind w:left="772"/>
        <w:jc w:val="both"/>
        <w:rPr>
          <w:color w:val="auto"/>
        </w:rPr>
      </w:pPr>
      <w:r>
        <w:rPr>
          <w:color w:val="auto"/>
          <w:spacing w:val="2"/>
          <w:w w:val="99"/>
        </w:rPr>
        <w:t>（</w:t>
      </w:r>
      <w:r>
        <w:rPr>
          <w:color w:val="auto"/>
          <w:w w:val="99"/>
        </w:rPr>
        <w:t>三）</w:t>
      </w:r>
      <w:r>
        <w:rPr>
          <w:color w:val="auto"/>
          <w:spacing w:val="-13"/>
          <w:w w:val="99"/>
        </w:rPr>
        <w:t>一般处罚的“以上”“以下”均不含本数。</w:t>
      </w:r>
    </w:p>
    <w:p w14:paraId="16908339">
      <w:pPr>
        <w:pStyle w:val="4"/>
        <w:spacing w:before="169" w:line="338" w:lineRule="auto"/>
        <w:ind w:left="131" w:right="129" w:firstLine="641"/>
        <w:jc w:val="both"/>
        <w:rPr>
          <w:color w:val="auto"/>
        </w:rPr>
      </w:pPr>
      <w:r>
        <w:rPr>
          <w:color w:val="auto"/>
        </w:rPr>
        <w:t>四、裁量基准栏中列明的罚款数据仅供参考。案件查办中涉及罚款的，应当依照《</w:t>
      </w:r>
      <w:r>
        <w:rPr>
          <w:rFonts w:hint="eastAsia"/>
          <w:color w:val="auto"/>
          <w:lang w:val="en-US" w:eastAsia="zh-CN"/>
        </w:rPr>
        <w:t xml:space="preserve"> 西藏</w:t>
      </w:r>
      <w:r>
        <w:rPr>
          <w:color w:val="auto"/>
        </w:rPr>
        <w:t>自治区药品监督管理局行政处罚裁量权适用规定》进行准确计算。</w:t>
      </w:r>
    </w:p>
    <w:p w14:paraId="4B8FFE7A">
      <w:pPr>
        <w:spacing w:after="0" w:line="338" w:lineRule="auto"/>
        <w:jc w:val="both"/>
        <w:rPr>
          <w:color w:val="auto"/>
        </w:rPr>
        <w:sectPr>
          <w:footerReference r:id="rId4" w:type="default"/>
          <w:pgSz w:w="16840" w:h="11910" w:orient="landscape"/>
          <w:pgMar w:top="1100" w:right="1400" w:bottom="1760" w:left="1400" w:header="0" w:footer="1572" w:gutter="0"/>
          <w:pgNumType w:fmt="numberInDash"/>
          <w:cols w:space="720" w:num="1"/>
        </w:sectPr>
      </w:pPr>
    </w:p>
    <w:tbl>
      <w:tblPr>
        <w:tblStyle w:val="6"/>
        <w:tblpPr w:leftFromText="180" w:rightFromText="180" w:vertAnchor="text" w:horzAnchor="page" w:tblpX="1498" w:tblpY="133"/>
        <w:tblOverlap w:val="never"/>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55"/>
        <w:gridCol w:w="528"/>
        <w:gridCol w:w="2715"/>
        <w:gridCol w:w="2714"/>
        <w:gridCol w:w="2717"/>
        <w:gridCol w:w="3900"/>
      </w:tblGrid>
      <w:tr w14:paraId="4C82E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62" w:type="dxa"/>
            <w:vMerge w:val="restart"/>
            <w:vAlign w:val="top"/>
          </w:tcPr>
          <w:p w14:paraId="7181EC8B">
            <w:pPr>
              <w:pStyle w:val="8"/>
              <w:jc w:val="both"/>
              <w:rPr>
                <w:rFonts w:ascii="Times New Roman"/>
                <w:color w:val="auto"/>
                <w:sz w:val="20"/>
              </w:rPr>
            </w:pPr>
          </w:p>
          <w:p w14:paraId="09B922E4">
            <w:pPr>
              <w:pStyle w:val="8"/>
              <w:jc w:val="both"/>
              <w:rPr>
                <w:rFonts w:ascii="Times New Roman"/>
                <w:color w:val="auto"/>
                <w:sz w:val="20"/>
              </w:rPr>
            </w:pPr>
          </w:p>
          <w:p w14:paraId="1463B3AF">
            <w:pPr>
              <w:pStyle w:val="8"/>
              <w:jc w:val="both"/>
              <w:rPr>
                <w:rFonts w:ascii="Times New Roman"/>
                <w:color w:val="auto"/>
                <w:sz w:val="20"/>
              </w:rPr>
            </w:pPr>
          </w:p>
          <w:p w14:paraId="1B8F0591">
            <w:pPr>
              <w:pStyle w:val="8"/>
              <w:jc w:val="both"/>
              <w:rPr>
                <w:rFonts w:ascii="Times New Roman"/>
                <w:color w:val="auto"/>
                <w:sz w:val="20"/>
              </w:rPr>
            </w:pPr>
          </w:p>
          <w:p w14:paraId="1177E444">
            <w:pPr>
              <w:pStyle w:val="8"/>
              <w:jc w:val="both"/>
              <w:rPr>
                <w:rFonts w:ascii="Times New Roman"/>
                <w:color w:val="auto"/>
                <w:sz w:val="20"/>
              </w:rPr>
            </w:pPr>
          </w:p>
          <w:p w14:paraId="2BA5F557">
            <w:pPr>
              <w:pStyle w:val="8"/>
              <w:jc w:val="both"/>
              <w:rPr>
                <w:rFonts w:ascii="Times New Roman"/>
                <w:color w:val="auto"/>
                <w:sz w:val="20"/>
              </w:rPr>
            </w:pPr>
          </w:p>
          <w:p w14:paraId="65F20ED6">
            <w:pPr>
              <w:pStyle w:val="8"/>
              <w:jc w:val="both"/>
              <w:rPr>
                <w:rFonts w:ascii="Times New Roman"/>
                <w:color w:val="auto"/>
                <w:sz w:val="20"/>
              </w:rPr>
            </w:pPr>
          </w:p>
          <w:p w14:paraId="11627E10">
            <w:pPr>
              <w:pStyle w:val="8"/>
              <w:jc w:val="both"/>
              <w:rPr>
                <w:rFonts w:ascii="Times New Roman"/>
                <w:color w:val="auto"/>
                <w:sz w:val="20"/>
              </w:rPr>
            </w:pPr>
          </w:p>
          <w:p w14:paraId="587AB9C7">
            <w:pPr>
              <w:pStyle w:val="8"/>
              <w:jc w:val="both"/>
              <w:rPr>
                <w:rFonts w:ascii="Times New Roman"/>
                <w:color w:val="auto"/>
                <w:sz w:val="20"/>
              </w:rPr>
            </w:pPr>
          </w:p>
          <w:p w14:paraId="02516A27">
            <w:pPr>
              <w:pStyle w:val="8"/>
              <w:jc w:val="both"/>
              <w:rPr>
                <w:rFonts w:ascii="Times New Roman"/>
                <w:color w:val="auto"/>
                <w:sz w:val="20"/>
              </w:rPr>
            </w:pPr>
          </w:p>
          <w:p w14:paraId="6B9E0569">
            <w:pPr>
              <w:pStyle w:val="8"/>
              <w:jc w:val="both"/>
              <w:rPr>
                <w:rFonts w:ascii="Times New Roman"/>
                <w:color w:val="auto"/>
                <w:sz w:val="20"/>
              </w:rPr>
            </w:pPr>
          </w:p>
          <w:p w14:paraId="44D2E4A0">
            <w:pPr>
              <w:pStyle w:val="8"/>
              <w:jc w:val="both"/>
              <w:rPr>
                <w:rFonts w:ascii="Times New Roman"/>
                <w:color w:val="auto"/>
                <w:sz w:val="20"/>
              </w:rPr>
            </w:pPr>
          </w:p>
          <w:p w14:paraId="3FCF8D00">
            <w:pPr>
              <w:pStyle w:val="8"/>
              <w:jc w:val="both"/>
              <w:rPr>
                <w:rFonts w:ascii="Times New Roman"/>
                <w:color w:val="auto"/>
                <w:sz w:val="20"/>
              </w:rPr>
            </w:pPr>
          </w:p>
          <w:p w14:paraId="19BDB4AE">
            <w:pPr>
              <w:pStyle w:val="8"/>
              <w:jc w:val="both"/>
              <w:rPr>
                <w:rFonts w:ascii="Times New Roman"/>
                <w:color w:val="auto"/>
                <w:sz w:val="20"/>
              </w:rPr>
            </w:pPr>
          </w:p>
          <w:p w14:paraId="3771C23D">
            <w:pPr>
              <w:pStyle w:val="8"/>
              <w:jc w:val="both"/>
              <w:rPr>
                <w:rFonts w:ascii="Times New Roman"/>
                <w:color w:val="auto"/>
                <w:sz w:val="20"/>
              </w:rPr>
            </w:pPr>
          </w:p>
          <w:p w14:paraId="55320307">
            <w:pPr>
              <w:pStyle w:val="8"/>
              <w:spacing w:before="5"/>
              <w:jc w:val="both"/>
              <w:rPr>
                <w:rFonts w:ascii="Times New Roman"/>
                <w:color w:val="auto"/>
                <w:sz w:val="19"/>
              </w:rPr>
            </w:pPr>
          </w:p>
          <w:p w14:paraId="4DCAC533">
            <w:pPr>
              <w:pStyle w:val="8"/>
              <w:ind w:left="9"/>
              <w:jc w:val="center"/>
              <w:rPr>
                <w:b/>
                <w:color w:val="auto"/>
                <w:sz w:val="21"/>
              </w:rPr>
            </w:pPr>
            <w:r>
              <w:rPr>
                <w:b/>
                <w:color w:val="auto"/>
                <w:w w:val="99"/>
                <w:sz w:val="21"/>
              </w:rPr>
              <w:t>1</w:t>
            </w:r>
          </w:p>
        </w:tc>
        <w:tc>
          <w:tcPr>
            <w:tcW w:w="1183" w:type="dxa"/>
            <w:gridSpan w:val="2"/>
            <w:vAlign w:val="top"/>
          </w:tcPr>
          <w:p w14:paraId="64DF6819">
            <w:pPr>
              <w:pStyle w:val="8"/>
              <w:spacing w:before="10"/>
              <w:jc w:val="both"/>
              <w:rPr>
                <w:rFonts w:ascii="Times New Roman"/>
                <w:color w:val="auto"/>
                <w:sz w:val="23"/>
              </w:rPr>
            </w:pPr>
          </w:p>
          <w:p w14:paraId="1DABE25B">
            <w:pPr>
              <w:pStyle w:val="8"/>
              <w:ind w:left="170"/>
              <w:jc w:val="both"/>
              <w:rPr>
                <w:b/>
                <w:color w:val="auto"/>
                <w:sz w:val="21"/>
              </w:rPr>
            </w:pPr>
            <w:r>
              <w:rPr>
                <w:b/>
                <w:color w:val="auto"/>
                <w:sz w:val="21"/>
              </w:rPr>
              <w:t>违法行为</w:t>
            </w:r>
          </w:p>
        </w:tc>
        <w:tc>
          <w:tcPr>
            <w:tcW w:w="12046" w:type="dxa"/>
            <w:gridSpan w:val="4"/>
            <w:vAlign w:val="top"/>
          </w:tcPr>
          <w:p w14:paraId="2BE9A6A7">
            <w:pPr>
              <w:pStyle w:val="8"/>
              <w:spacing w:before="1" w:line="244" w:lineRule="auto"/>
              <w:ind w:left="530" w:right="5620" w:hanging="3"/>
              <w:jc w:val="both"/>
              <w:rPr>
                <w:color w:val="auto"/>
                <w:sz w:val="21"/>
              </w:rPr>
            </w:pPr>
            <w:r>
              <w:rPr>
                <w:color w:val="auto"/>
                <w:sz w:val="21"/>
              </w:rPr>
              <w:t>生产、经营未取得医疗器械注册证的第二类、第三类医疗器械；</w:t>
            </w:r>
          </w:p>
          <w:p w14:paraId="7036D52F">
            <w:pPr>
              <w:pStyle w:val="8"/>
              <w:spacing w:before="1" w:line="244" w:lineRule="auto"/>
              <w:ind w:left="530" w:right="5620" w:hanging="3"/>
              <w:jc w:val="both"/>
              <w:rPr>
                <w:color w:val="auto"/>
                <w:sz w:val="21"/>
              </w:rPr>
            </w:pPr>
            <w:r>
              <w:rPr>
                <w:color w:val="auto"/>
                <w:sz w:val="21"/>
              </w:rPr>
              <w:t>未经许可从事第二类、第三类医疗器械生产活动；</w:t>
            </w:r>
          </w:p>
          <w:p w14:paraId="5D5BBA64">
            <w:pPr>
              <w:pStyle w:val="8"/>
              <w:spacing w:line="248" w:lineRule="exact"/>
              <w:ind w:left="530"/>
              <w:jc w:val="both"/>
              <w:rPr>
                <w:color w:val="auto"/>
                <w:sz w:val="21"/>
              </w:rPr>
            </w:pPr>
            <w:r>
              <w:rPr>
                <w:color w:val="auto"/>
                <w:sz w:val="21"/>
              </w:rPr>
              <w:t>未经许可从事第三类医疗器械经营活动。</w:t>
            </w:r>
          </w:p>
        </w:tc>
      </w:tr>
      <w:tr w14:paraId="3B7C6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562" w:type="dxa"/>
            <w:vMerge w:val="continue"/>
            <w:tcBorders>
              <w:top w:val="nil"/>
            </w:tcBorders>
            <w:vAlign w:val="top"/>
          </w:tcPr>
          <w:p w14:paraId="3860E16D">
            <w:pPr>
              <w:jc w:val="both"/>
              <w:rPr>
                <w:color w:val="auto"/>
                <w:sz w:val="2"/>
                <w:szCs w:val="2"/>
              </w:rPr>
            </w:pPr>
          </w:p>
        </w:tc>
        <w:tc>
          <w:tcPr>
            <w:tcW w:w="1183" w:type="dxa"/>
            <w:gridSpan w:val="2"/>
            <w:vAlign w:val="top"/>
          </w:tcPr>
          <w:p w14:paraId="2DC33A43">
            <w:pPr>
              <w:pStyle w:val="8"/>
              <w:jc w:val="both"/>
              <w:rPr>
                <w:rFonts w:ascii="Times New Roman"/>
                <w:color w:val="auto"/>
                <w:sz w:val="20"/>
              </w:rPr>
            </w:pPr>
          </w:p>
          <w:p w14:paraId="3A3230B8">
            <w:pPr>
              <w:pStyle w:val="8"/>
              <w:jc w:val="both"/>
              <w:rPr>
                <w:rFonts w:ascii="Times New Roman"/>
                <w:color w:val="auto"/>
                <w:sz w:val="20"/>
              </w:rPr>
            </w:pPr>
          </w:p>
          <w:p w14:paraId="1D5EE703">
            <w:pPr>
              <w:pStyle w:val="8"/>
              <w:spacing w:before="3"/>
              <w:jc w:val="both"/>
              <w:rPr>
                <w:rFonts w:ascii="Times New Roman"/>
                <w:color w:val="auto"/>
                <w:sz w:val="22"/>
              </w:rPr>
            </w:pPr>
          </w:p>
          <w:p w14:paraId="6EFEAFA2">
            <w:pPr>
              <w:pStyle w:val="8"/>
              <w:ind w:left="170"/>
              <w:jc w:val="both"/>
              <w:rPr>
                <w:b/>
                <w:color w:val="auto"/>
                <w:sz w:val="21"/>
              </w:rPr>
            </w:pPr>
            <w:r>
              <w:rPr>
                <w:b/>
                <w:color w:val="auto"/>
                <w:sz w:val="21"/>
              </w:rPr>
              <w:t>处罚依据</w:t>
            </w:r>
          </w:p>
        </w:tc>
        <w:tc>
          <w:tcPr>
            <w:tcW w:w="12046" w:type="dxa"/>
            <w:gridSpan w:val="4"/>
            <w:vAlign w:val="top"/>
          </w:tcPr>
          <w:p w14:paraId="29693FB3">
            <w:pPr>
              <w:pStyle w:val="8"/>
              <w:spacing w:before="171" w:line="242" w:lineRule="auto"/>
              <w:ind w:left="108" w:right="97" w:firstLine="420"/>
              <w:jc w:val="both"/>
              <w:rPr>
                <w:color w:val="auto"/>
                <w:sz w:val="21"/>
              </w:rPr>
            </w:pPr>
            <w:r>
              <w:rPr>
                <w:color w:val="auto"/>
                <w:spacing w:val="-1"/>
                <w:sz w:val="21"/>
              </w:rPr>
              <w:t>根据《医疗器械监督管理条例》第八十一条第一款规定</w:t>
            </w:r>
            <w:r>
              <w:rPr>
                <w:rFonts w:hint="eastAsia"/>
                <w:color w:val="auto"/>
                <w:spacing w:val="-1"/>
                <w:sz w:val="21"/>
                <w:lang w:eastAsia="zh-CN"/>
              </w:rPr>
              <w:t>，</w:t>
            </w:r>
            <w:r>
              <w:rPr>
                <w:color w:val="auto"/>
                <w:spacing w:val="-1"/>
                <w:sz w:val="21"/>
              </w:rPr>
              <w:t xml:space="preserve"> 由负责药品监督管理的部门没收违法所得、违法生产经营的医疗器</w:t>
            </w:r>
            <w:r>
              <w:rPr>
                <w:color w:val="auto"/>
                <w:spacing w:val="-7"/>
                <w:sz w:val="21"/>
              </w:rPr>
              <w:t xml:space="preserve">械和用于违法生产经营的工具、设备、原材料等物品；违法生产经营的医疗器械货值金额不足 </w:t>
            </w:r>
            <w:r>
              <w:rPr>
                <w:color w:val="auto"/>
                <w:sz w:val="21"/>
              </w:rPr>
              <w:t>1</w:t>
            </w:r>
            <w:r>
              <w:rPr>
                <w:color w:val="auto"/>
                <w:spacing w:val="-15"/>
                <w:sz w:val="21"/>
              </w:rPr>
              <w:t xml:space="preserve"> 万元的，并处 </w:t>
            </w:r>
            <w:r>
              <w:rPr>
                <w:color w:val="auto"/>
                <w:sz w:val="21"/>
              </w:rPr>
              <w:t>5</w:t>
            </w:r>
            <w:r>
              <w:rPr>
                <w:color w:val="auto"/>
                <w:spacing w:val="-17"/>
                <w:sz w:val="21"/>
              </w:rPr>
              <w:t xml:space="preserve"> 万元以上 </w:t>
            </w:r>
            <w:r>
              <w:rPr>
                <w:color w:val="auto"/>
                <w:sz w:val="21"/>
              </w:rPr>
              <w:t>15</w:t>
            </w:r>
            <w:r>
              <w:rPr>
                <w:color w:val="auto"/>
                <w:spacing w:val="-18"/>
                <w:sz w:val="21"/>
              </w:rPr>
              <w:t xml:space="preserve"> 万元</w:t>
            </w:r>
          </w:p>
          <w:p w14:paraId="7733F6CE">
            <w:pPr>
              <w:pStyle w:val="8"/>
              <w:spacing w:before="1" w:line="242" w:lineRule="auto"/>
              <w:ind w:left="108" w:right="96"/>
              <w:jc w:val="both"/>
              <w:rPr>
                <w:color w:val="auto"/>
                <w:sz w:val="21"/>
              </w:rPr>
            </w:pPr>
            <w:r>
              <w:rPr>
                <w:color w:val="auto"/>
                <w:spacing w:val="-7"/>
                <w:sz w:val="21"/>
              </w:rPr>
              <w:t xml:space="preserve">以下罚款；货值金额 </w:t>
            </w:r>
            <w:r>
              <w:rPr>
                <w:color w:val="auto"/>
                <w:sz w:val="21"/>
              </w:rPr>
              <w:t>1</w:t>
            </w:r>
            <w:r>
              <w:rPr>
                <w:color w:val="auto"/>
                <w:spacing w:val="-11"/>
                <w:sz w:val="21"/>
              </w:rPr>
              <w:t xml:space="preserve"> 万元以上的，并处货值金额 </w:t>
            </w:r>
            <w:r>
              <w:rPr>
                <w:color w:val="auto"/>
                <w:sz w:val="21"/>
              </w:rPr>
              <w:t>15</w:t>
            </w:r>
            <w:r>
              <w:rPr>
                <w:color w:val="auto"/>
                <w:spacing w:val="-19"/>
                <w:sz w:val="21"/>
              </w:rPr>
              <w:t xml:space="preserve"> 倍以上 </w:t>
            </w:r>
            <w:r>
              <w:rPr>
                <w:color w:val="auto"/>
                <w:sz w:val="21"/>
              </w:rPr>
              <w:t>30</w:t>
            </w:r>
            <w:r>
              <w:rPr>
                <w:color w:val="auto"/>
                <w:spacing w:val="-8"/>
                <w:sz w:val="21"/>
              </w:rPr>
              <w:t xml:space="preserve"> 倍以下罚款；情节严重的，责令停产停业，</w:t>
            </w:r>
            <w:r>
              <w:rPr>
                <w:color w:val="auto"/>
                <w:sz w:val="21"/>
              </w:rPr>
              <w:t>10</w:t>
            </w:r>
            <w:r>
              <w:rPr>
                <w:color w:val="auto"/>
                <w:spacing w:val="-8"/>
                <w:sz w:val="21"/>
              </w:rPr>
              <w:t xml:space="preserve"> 年内不受理相关责</w:t>
            </w:r>
            <w:r>
              <w:rPr>
                <w:color w:val="auto"/>
                <w:spacing w:val="-9"/>
                <w:sz w:val="21"/>
              </w:rPr>
              <w:t>任人以及单位提出的医疗器械许可申请，对违法单位的法定代表人、主要负责人、直接负责的主管人员和其他责任人员，没收违</w:t>
            </w:r>
            <w:r>
              <w:rPr>
                <w:color w:val="auto"/>
                <w:spacing w:val="-6"/>
                <w:sz w:val="21"/>
              </w:rPr>
              <w:t xml:space="preserve">法行为发生期间自本单位所获收入，并处所获收入 </w:t>
            </w:r>
            <w:r>
              <w:rPr>
                <w:color w:val="auto"/>
                <w:sz w:val="21"/>
              </w:rPr>
              <w:t>30%</w:t>
            </w:r>
            <w:r>
              <w:rPr>
                <w:color w:val="auto"/>
                <w:spacing w:val="-19"/>
                <w:sz w:val="21"/>
              </w:rPr>
              <w:t xml:space="preserve">以上 </w:t>
            </w:r>
            <w:r>
              <w:rPr>
                <w:color w:val="auto"/>
                <w:sz w:val="21"/>
              </w:rPr>
              <w:t>3</w:t>
            </w:r>
            <w:r>
              <w:rPr>
                <w:color w:val="auto"/>
                <w:spacing w:val="-9"/>
                <w:sz w:val="21"/>
              </w:rPr>
              <w:t xml:space="preserve"> 倍以下罚款，终身禁止其从事医疗器械生产经营活动。</w:t>
            </w:r>
          </w:p>
        </w:tc>
      </w:tr>
      <w:tr w14:paraId="63F11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562" w:type="dxa"/>
            <w:vMerge w:val="continue"/>
            <w:tcBorders>
              <w:top w:val="nil"/>
            </w:tcBorders>
            <w:vAlign w:val="top"/>
          </w:tcPr>
          <w:p w14:paraId="202C3801">
            <w:pPr>
              <w:jc w:val="both"/>
              <w:rPr>
                <w:color w:val="auto"/>
                <w:sz w:val="2"/>
                <w:szCs w:val="2"/>
              </w:rPr>
            </w:pPr>
          </w:p>
        </w:tc>
        <w:tc>
          <w:tcPr>
            <w:tcW w:w="1183" w:type="dxa"/>
            <w:gridSpan w:val="2"/>
            <w:vAlign w:val="top"/>
          </w:tcPr>
          <w:p w14:paraId="091BC67A">
            <w:pPr>
              <w:pStyle w:val="8"/>
              <w:spacing w:before="147"/>
              <w:ind w:left="170"/>
              <w:jc w:val="both"/>
              <w:rPr>
                <w:b/>
                <w:color w:val="auto"/>
                <w:sz w:val="21"/>
              </w:rPr>
            </w:pPr>
            <w:r>
              <w:rPr>
                <w:b/>
                <w:color w:val="auto"/>
                <w:sz w:val="21"/>
              </w:rPr>
              <w:t>裁量等级</w:t>
            </w:r>
          </w:p>
        </w:tc>
        <w:tc>
          <w:tcPr>
            <w:tcW w:w="2715" w:type="dxa"/>
            <w:vAlign w:val="top"/>
          </w:tcPr>
          <w:p w14:paraId="324280FF">
            <w:pPr>
              <w:pStyle w:val="8"/>
              <w:spacing w:before="147"/>
              <w:ind w:left="108"/>
              <w:jc w:val="both"/>
              <w:rPr>
                <w:b/>
                <w:color w:val="auto"/>
                <w:sz w:val="21"/>
              </w:rPr>
            </w:pPr>
            <w:r>
              <w:rPr>
                <w:b/>
                <w:color w:val="auto"/>
                <w:sz w:val="21"/>
              </w:rPr>
              <w:t>减轻</w:t>
            </w:r>
          </w:p>
        </w:tc>
        <w:tc>
          <w:tcPr>
            <w:tcW w:w="2714" w:type="dxa"/>
            <w:vAlign w:val="top"/>
          </w:tcPr>
          <w:p w14:paraId="09D25547">
            <w:pPr>
              <w:pStyle w:val="8"/>
              <w:spacing w:before="147"/>
              <w:ind w:left="108"/>
              <w:jc w:val="both"/>
              <w:rPr>
                <w:b/>
                <w:color w:val="auto"/>
                <w:sz w:val="21"/>
              </w:rPr>
            </w:pPr>
            <w:r>
              <w:rPr>
                <w:b/>
                <w:color w:val="auto"/>
                <w:sz w:val="21"/>
              </w:rPr>
              <w:t>从轻</w:t>
            </w:r>
          </w:p>
        </w:tc>
        <w:tc>
          <w:tcPr>
            <w:tcW w:w="2717" w:type="dxa"/>
            <w:vAlign w:val="top"/>
          </w:tcPr>
          <w:p w14:paraId="6A8CA944">
            <w:pPr>
              <w:pStyle w:val="8"/>
              <w:spacing w:before="147"/>
              <w:ind w:left="108"/>
              <w:jc w:val="both"/>
              <w:rPr>
                <w:b/>
                <w:color w:val="auto"/>
                <w:sz w:val="21"/>
              </w:rPr>
            </w:pPr>
            <w:r>
              <w:rPr>
                <w:b/>
                <w:color w:val="auto"/>
                <w:sz w:val="21"/>
              </w:rPr>
              <w:t>一般</w:t>
            </w:r>
          </w:p>
        </w:tc>
        <w:tc>
          <w:tcPr>
            <w:tcW w:w="3900" w:type="dxa"/>
            <w:vAlign w:val="top"/>
          </w:tcPr>
          <w:p w14:paraId="28980726">
            <w:pPr>
              <w:pStyle w:val="8"/>
              <w:spacing w:before="147"/>
              <w:ind w:left="106"/>
              <w:jc w:val="both"/>
              <w:rPr>
                <w:b/>
                <w:color w:val="auto"/>
                <w:sz w:val="21"/>
              </w:rPr>
            </w:pPr>
            <w:r>
              <w:rPr>
                <w:b/>
                <w:color w:val="auto"/>
                <w:sz w:val="21"/>
              </w:rPr>
              <w:t>从重</w:t>
            </w:r>
          </w:p>
        </w:tc>
      </w:tr>
      <w:tr w14:paraId="6F049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281FD1CF">
            <w:pPr>
              <w:jc w:val="both"/>
              <w:rPr>
                <w:color w:val="auto"/>
                <w:sz w:val="2"/>
                <w:szCs w:val="2"/>
              </w:rPr>
            </w:pPr>
          </w:p>
        </w:tc>
        <w:tc>
          <w:tcPr>
            <w:tcW w:w="1183" w:type="dxa"/>
            <w:gridSpan w:val="2"/>
            <w:vAlign w:val="top"/>
          </w:tcPr>
          <w:p w14:paraId="56A755D3">
            <w:pPr>
              <w:pStyle w:val="8"/>
              <w:spacing w:before="3"/>
              <w:jc w:val="both"/>
              <w:rPr>
                <w:rFonts w:ascii="Times New Roman"/>
                <w:color w:val="auto"/>
                <w:sz w:val="20"/>
              </w:rPr>
            </w:pPr>
          </w:p>
          <w:p w14:paraId="4FFA8423">
            <w:pPr>
              <w:pStyle w:val="8"/>
              <w:spacing w:before="1"/>
              <w:ind w:left="170"/>
              <w:jc w:val="both"/>
              <w:rPr>
                <w:b/>
                <w:color w:val="auto"/>
                <w:sz w:val="21"/>
              </w:rPr>
            </w:pPr>
            <w:r>
              <w:rPr>
                <w:b/>
                <w:color w:val="auto"/>
                <w:sz w:val="21"/>
              </w:rPr>
              <w:t>裁量情节</w:t>
            </w:r>
          </w:p>
        </w:tc>
        <w:tc>
          <w:tcPr>
            <w:tcW w:w="2715" w:type="dxa"/>
            <w:vAlign w:val="top"/>
          </w:tcPr>
          <w:p w14:paraId="70290D2B">
            <w:pPr>
              <w:pStyle w:val="8"/>
              <w:spacing w:before="97" w:line="244" w:lineRule="auto"/>
              <w:ind w:left="108" w:right="97"/>
              <w:jc w:val="both"/>
              <w:rPr>
                <w:color w:val="auto"/>
                <w:sz w:val="21"/>
              </w:rPr>
            </w:pPr>
            <w:r>
              <w:rPr>
                <w:color w:val="auto"/>
                <w:sz w:val="21"/>
              </w:rPr>
              <w:t>符合裁量规定减轻行政处罚情形的。</w:t>
            </w:r>
          </w:p>
        </w:tc>
        <w:tc>
          <w:tcPr>
            <w:tcW w:w="2714" w:type="dxa"/>
            <w:vAlign w:val="top"/>
          </w:tcPr>
          <w:p w14:paraId="1943F4D1">
            <w:pPr>
              <w:pStyle w:val="8"/>
              <w:spacing w:before="97" w:line="244" w:lineRule="auto"/>
              <w:ind w:left="108" w:right="94"/>
              <w:jc w:val="both"/>
              <w:rPr>
                <w:color w:val="auto"/>
                <w:sz w:val="21"/>
              </w:rPr>
            </w:pPr>
            <w:r>
              <w:rPr>
                <w:color w:val="auto"/>
                <w:sz w:val="21"/>
              </w:rPr>
              <w:t>符合裁量规定从轻行政处罚情形的。</w:t>
            </w:r>
          </w:p>
        </w:tc>
        <w:tc>
          <w:tcPr>
            <w:tcW w:w="2717" w:type="dxa"/>
            <w:vAlign w:val="top"/>
          </w:tcPr>
          <w:p w14:paraId="608DA2B9">
            <w:pPr>
              <w:pStyle w:val="8"/>
              <w:spacing w:before="97" w:line="244" w:lineRule="auto"/>
              <w:ind w:left="108" w:right="97"/>
              <w:jc w:val="both"/>
              <w:rPr>
                <w:color w:val="auto"/>
                <w:sz w:val="21"/>
              </w:rPr>
            </w:pPr>
            <w:r>
              <w:rPr>
                <w:color w:val="auto"/>
                <w:sz w:val="21"/>
              </w:rPr>
              <w:t>符合裁量规定一般行政处罚情形的。</w:t>
            </w:r>
          </w:p>
        </w:tc>
        <w:tc>
          <w:tcPr>
            <w:tcW w:w="3900" w:type="dxa"/>
            <w:vAlign w:val="top"/>
          </w:tcPr>
          <w:p w14:paraId="4CDF91C1">
            <w:pPr>
              <w:pStyle w:val="8"/>
              <w:spacing w:before="3"/>
              <w:jc w:val="both"/>
              <w:rPr>
                <w:rFonts w:ascii="Times New Roman"/>
                <w:color w:val="auto"/>
                <w:sz w:val="20"/>
              </w:rPr>
            </w:pPr>
          </w:p>
          <w:p w14:paraId="3044722E">
            <w:pPr>
              <w:pStyle w:val="8"/>
              <w:spacing w:before="1"/>
              <w:ind w:left="106"/>
              <w:jc w:val="both"/>
              <w:rPr>
                <w:color w:val="auto"/>
                <w:sz w:val="21"/>
              </w:rPr>
            </w:pPr>
            <w:r>
              <w:rPr>
                <w:color w:val="auto"/>
                <w:sz w:val="21"/>
              </w:rPr>
              <w:t>符合裁量规定从重行政处罚情形的。</w:t>
            </w:r>
          </w:p>
        </w:tc>
      </w:tr>
      <w:tr w14:paraId="50C3C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0A5108E9">
            <w:pPr>
              <w:jc w:val="both"/>
              <w:rPr>
                <w:color w:val="auto"/>
                <w:sz w:val="2"/>
                <w:szCs w:val="2"/>
              </w:rPr>
            </w:pPr>
          </w:p>
        </w:tc>
        <w:tc>
          <w:tcPr>
            <w:tcW w:w="655" w:type="dxa"/>
            <w:vMerge w:val="restart"/>
            <w:vAlign w:val="top"/>
          </w:tcPr>
          <w:p w14:paraId="1E9949A2">
            <w:pPr>
              <w:pStyle w:val="8"/>
              <w:jc w:val="both"/>
              <w:rPr>
                <w:rFonts w:ascii="Times New Roman"/>
                <w:color w:val="auto"/>
                <w:sz w:val="20"/>
              </w:rPr>
            </w:pPr>
          </w:p>
          <w:p w14:paraId="280DF217">
            <w:pPr>
              <w:pStyle w:val="8"/>
              <w:jc w:val="both"/>
              <w:rPr>
                <w:rFonts w:ascii="Times New Roman"/>
                <w:color w:val="auto"/>
                <w:sz w:val="20"/>
              </w:rPr>
            </w:pPr>
          </w:p>
          <w:p w14:paraId="5CFF04D4">
            <w:pPr>
              <w:pStyle w:val="8"/>
              <w:jc w:val="both"/>
              <w:rPr>
                <w:rFonts w:ascii="Times New Roman"/>
                <w:color w:val="auto"/>
                <w:sz w:val="20"/>
              </w:rPr>
            </w:pPr>
          </w:p>
          <w:p w14:paraId="6FB85C30">
            <w:pPr>
              <w:pStyle w:val="8"/>
              <w:jc w:val="both"/>
              <w:rPr>
                <w:rFonts w:ascii="Times New Roman"/>
                <w:color w:val="auto"/>
                <w:sz w:val="20"/>
              </w:rPr>
            </w:pPr>
          </w:p>
          <w:p w14:paraId="7F183578">
            <w:pPr>
              <w:pStyle w:val="8"/>
              <w:jc w:val="both"/>
              <w:rPr>
                <w:rFonts w:ascii="Times New Roman"/>
                <w:color w:val="auto"/>
                <w:sz w:val="20"/>
              </w:rPr>
            </w:pPr>
          </w:p>
          <w:p w14:paraId="45B01A39">
            <w:pPr>
              <w:pStyle w:val="8"/>
              <w:jc w:val="both"/>
              <w:rPr>
                <w:rFonts w:ascii="Times New Roman"/>
                <w:color w:val="auto"/>
                <w:sz w:val="20"/>
              </w:rPr>
            </w:pPr>
          </w:p>
          <w:p w14:paraId="7B5ACC58">
            <w:pPr>
              <w:pStyle w:val="8"/>
              <w:spacing w:before="8"/>
              <w:jc w:val="both"/>
              <w:rPr>
                <w:rFonts w:ascii="Times New Roman"/>
                <w:color w:val="auto"/>
                <w:sz w:val="19"/>
              </w:rPr>
            </w:pPr>
          </w:p>
          <w:p w14:paraId="7D48D1AF">
            <w:pPr>
              <w:pStyle w:val="8"/>
              <w:spacing w:line="242" w:lineRule="auto"/>
              <w:ind w:left="115" w:right="105"/>
              <w:jc w:val="both"/>
              <w:rPr>
                <w:b/>
                <w:color w:val="auto"/>
                <w:sz w:val="21"/>
              </w:rPr>
            </w:pPr>
            <w:r>
              <w:rPr>
                <w:b/>
                <w:color w:val="auto"/>
                <w:sz w:val="21"/>
              </w:rPr>
              <w:t>裁量基准</w:t>
            </w:r>
          </w:p>
        </w:tc>
        <w:tc>
          <w:tcPr>
            <w:tcW w:w="528" w:type="dxa"/>
            <w:vAlign w:val="top"/>
          </w:tcPr>
          <w:p w14:paraId="616E177B">
            <w:pPr>
              <w:pStyle w:val="8"/>
              <w:jc w:val="both"/>
              <w:rPr>
                <w:rFonts w:ascii="Times New Roman"/>
                <w:color w:val="auto"/>
                <w:sz w:val="20"/>
              </w:rPr>
            </w:pPr>
          </w:p>
          <w:p w14:paraId="0AED9197">
            <w:pPr>
              <w:pStyle w:val="8"/>
              <w:spacing w:before="162" w:line="242" w:lineRule="auto"/>
              <w:ind w:left="158" w:right="146"/>
              <w:jc w:val="both"/>
              <w:rPr>
                <w:b/>
                <w:color w:val="auto"/>
                <w:sz w:val="21"/>
              </w:rPr>
            </w:pPr>
            <w:r>
              <w:rPr>
                <w:b/>
                <w:color w:val="auto"/>
                <w:sz w:val="21"/>
              </w:rPr>
              <w:t>一般情形</w:t>
            </w:r>
          </w:p>
        </w:tc>
        <w:tc>
          <w:tcPr>
            <w:tcW w:w="2715" w:type="dxa"/>
            <w:vAlign w:val="top"/>
          </w:tcPr>
          <w:p w14:paraId="019974EC">
            <w:pPr>
              <w:pStyle w:val="8"/>
              <w:spacing w:before="4"/>
              <w:jc w:val="both"/>
              <w:rPr>
                <w:rFonts w:ascii="Times New Roman"/>
                <w:color w:val="auto"/>
                <w:sz w:val="22"/>
              </w:rPr>
            </w:pPr>
          </w:p>
          <w:p w14:paraId="6764082F">
            <w:pPr>
              <w:pStyle w:val="8"/>
              <w:spacing w:before="1"/>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14:paraId="386D7F7E">
            <w:pPr>
              <w:pStyle w:val="8"/>
              <w:spacing w:before="2" w:line="242" w:lineRule="auto"/>
              <w:ind w:left="108" w:right="-15"/>
              <w:jc w:val="both"/>
              <w:rPr>
                <w:color w:val="auto"/>
                <w:sz w:val="21"/>
              </w:rPr>
            </w:pPr>
            <w:r>
              <w:rPr>
                <w:color w:val="auto"/>
                <w:sz w:val="21"/>
              </w:rPr>
              <w:t>0.5</w:t>
            </w:r>
            <w:r>
              <w:rPr>
                <w:color w:val="auto"/>
                <w:spacing w:val="-16"/>
                <w:sz w:val="21"/>
              </w:rPr>
              <w:t xml:space="preserve"> 万元以上 </w:t>
            </w:r>
            <w:r>
              <w:rPr>
                <w:color w:val="auto"/>
                <w:sz w:val="21"/>
              </w:rPr>
              <w:t>5</w:t>
            </w:r>
            <w:r>
              <w:rPr>
                <w:color w:val="auto"/>
                <w:spacing w:val="-10"/>
                <w:sz w:val="21"/>
              </w:rPr>
              <w:t xml:space="preserve"> 万元以下罚</w:t>
            </w:r>
            <w:r>
              <w:rPr>
                <w:color w:val="auto"/>
                <w:spacing w:val="-26"/>
                <w:sz w:val="21"/>
              </w:rPr>
              <w:t xml:space="preserve">款；货值金额 </w:t>
            </w:r>
            <w:r>
              <w:rPr>
                <w:color w:val="auto"/>
                <w:sz w:val="21"/>
              </w:rPr>
              <w:t>1</w:t>
            </w:r>
            <w:r>
              <w:rPr>
                <w:color w:val="auto"/>
                <w:spacing w:val="-12"/>
                <w:sz w:val="21"/>
              </w:rPr>
              <w:t xml:space="preserve"> 万元以上的， </w:t>
            </w:r>
            <w:r>
              <w:rPr>
                <w:color w:val="auto"/>
                <w:spacing w:val="-7"/>
                <w:sz w:val="21"/>
              </w:rPr>
              <w:t xml:space="preserve">处货值金额 </w:t>
            </w:r>
            <w:r>
              <w:rPr>
                <w:color w:val="auto"/>
                <w:sz w:val="21"/>
              </w:rPr>
              <w:t>1.5</w:t>
            </w:r>
            <w:r>
              <w:rPr>
                <w:color w:val="auto"/>
                <w:spacing w:val="-4"/>
                <w:sz w:val="21"/>
              </w:rPr>
              <w:t xml:space="preserve"> 倍以上 </w:t>
            </w:r>
            <w:r>
              <w:rPr>
                <w:color w:val="auto"/>
                <w:spacing w:val="-3"/>
                <w:sz w:val="21"/>
              </w:rPr>
              <w:t xml:space="preserve">15 </w:t>
            </w:r>
            <w:r>
              <w:rPr>
                <w:color w:val="auto"/>
                <w:spacing w:val="-2"/>
                <w:sz w:val="21"/>
              </w:rPr>
              <w:t>倍以下罚款。</w:t>
            </w:r>
          </w:p>
        </w:tc>
        <w:tc>
          <w:tcPr>
            <w:tcW w:w="2714" w:type="dxa"/>
            <w:vAlign w:val="top"/>
          </w:tcPr>
          <w:p w14:paraId="6F7C1C77">
            <w:pPr>
              <w:pStyle w:val="8"/>
              <w:spacing w:before="4"/>
              <w:jc w:val="both"/>
              <w:rPr>
                <w:rFonts w:ascii="Times New Roman"/>
                <w:color w:val="auto"/>
                <w:sz w:val="22"/>
              </w:rPr>
            </w:pPr>
          </w:p>
          <w:p w14:paraId="677B32DD">
            <w:pPr>
              <w:pStyle w:val="8"/>
              <w:spacing w:before="1"/>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14:paraId="3046A072">
            <w:pPr>
              <w:pStyle w:val="8"/>
              <w:spacing w:before="2"/>
              <w:ind w:left="108" w:right="-15"/>
              <w:jc w:val="both"/>
              <w:rPr>
                <w:color w:val="auto"/>
                <w:sz w:val="21"/>
              </w:rPr>
            </w:pPr>
            <w:r>
              <w:rPr>
                <w:color w:val="auto"/>
                <w:sz w:val="21"/>
              </w:rPr>
              <w:t>5</w:t>
            </w:r>
            <w:r>
              <w:rPr>
                <w:color w:val="auto"/>
                <w:spacing w:val="-11"/>
                <w:sz w:val="21"/>
              </w:rPr>
              <w:t xml:space="preserve"> 万元以上</w:t>
            </w:r>
            <w:r>
              <w:rPr>
                <w:color w:val="auto"/>
                <w:sz w:val="21"/>
              </w:rPr>
              <w:t>8</w:t>
            </w:r>
            <w:r>
              <w:rPr>
                <w:color w:val="auto"/>
                <w:spacing w:val="-13"/>
                <w:sz w:val="21"/>
              </w:rPr>
              <w:t xml:space="preserve"> 万元以下罚款；</w:t>
            </w:r>
          </w:p>
          <w:p w14:paraId="16839787">
            <w:pPr>
              <w:pStyle w:val="8"/>
              <w:spacing w:before="5"/>
              <w:ind w:left="108"/>
              <w:jc w:val="both"/>
              <w:rPr>
                <w:color w:val="auto"/>
                <w:sz w:val="21"/>
              </w:rPr>
            </w:pPr>
            <w:r>
              <w:rPr>
                <w:color w:val="auto"/>
                <w:spacing w:val="-10"/>
                <w:sz w:val="21"/>
              </w:rPr>
              <w:t xml:space="preserve">货值金额 </w:t>
            </w:r>
            <w:r>
              <w:rPr>
                <w:color w:val="auto"/>
                <w:sz w:val="21"/>
              </w:rPr>
              <w:t>1</w:t>
            </w:r>
            <w:r>
              <w:rPr>
                <w:color w:val="auto"/>
                <w:spacing w:val="-12"/>
                <w:sz w:val="21"/>
              </w:rPr>
              <w:t xml:space="preserve"> 万元以上的，处</w:t>
            </w:r>
          </w:p>
          <w:p w14:paraId="2B3A54EA">
            <w:pPr>
              <w:pStyle w:val="8"/>
              <w:spacing w:before="2" w:line="244" w:lineRule="auto"/>
              <w:ind w:left="108" w:right="93"/>
              <w:jc w:val="both"/>
              <w:rPr>
                <w:color w:val="auto"/>
                <w:sz w:val="21"/>
              </w:rPr>
            </w:pPr>
            <w:r>
              <w:rPr>
                <w:color w:val="auto"/>
                <w:spacing w:val="-13"/>
                <w:sz w:val="21"/>
              </w:rPr>
              <w:t xml:space="preserve">货值金额 </w:t>
            </w:r>
            <w:r>
              <w:rPr>
                <w:color w:val="auto"/>
                <w:sz w:val="21"/>
              </w:rPr>
              <w:t>15</w:t>
            </w:r>
            <w:r>
              <w:rPr>
                <w:color w:val="auto"/>
                <w:spacing w:val="-24"/>
                <w:sz w:val="21"/>
              </w:rPr>
              <w:t xml:space="preserve"> 倍以上 </w:t>
            </w:r>
            <w:r>
              <w:rPr>
                <w:color w:val="auto"/>
                <w:sz w:val="21"/>
              </w:rPr>
              <w:t>19.5</w:t>
            </w:r>
            <w:r>
              <w:rPr>
                <w:color w:val="auto"/>
                <w:spacing w:val="-36"/>
                <w:sz w:val="21"/>
              </w:rPr>
              <w:t xml:space="preserve"> 倍</w:t>
            </w:r>
            <w:r>
              <w:rPr>
                <w:color w:val="auto"/>
                <w:spacing w:val="-1"/>
                <w:sz w:val="21"/>
              </w:rPr>
              <w:t>以下罚款。</w:t>
            </w:r>
          </w:p>
        </w:tc>
        <w:tc>
          <w:tcPr>
            <w:tcW w:w="2717" w:type="dxa"/>
            <w:vAlign w:val="top"/>
          </w:tcPr>
          <w:p w14:paraId="396F732C">
            <w:pPr>
              <w:pStyle w:val="8"/>
              <w:spacing w:before="4"/>
              <w:jc w:val="both"/>
              <w:rPr>
                <w:rFonts w:ascii="Times New Roman"/>
                <w:color w:val="auto"/>
                <w:sz w:val="22"/>
              </w:rPr>
            </w:pPr>
          </w:p>
          <w:p w14:paraId="1BE72309">
            <w:pPr>
              <w:pStyle w:val="8"/>
              <w:spacing w:before="1"/>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14:paraId="2CC7A565">
            <w:pPr>
              <w:pStyle w:val="8"/>
              <w:spacing w:before="2"/>
              <w:ind w:left="108"/>
              <w:jc w:val="both"/>
              <w:rPr>
                <w:color w:val="auto"/>
                <w:sz w:val="21"/>
              </w:rPr>
            </w:pPr>
            <w:r>
              <w:rPr>
                <w:color w:val="auto"/>
                <w:sz w:val="21"/>
              </w:rPr>
              <w:t>8</w:t>
            </w:r>
            <w:r>
              <w:rPr>
                <w:color w:val="auto"/>
                <w:spacing w:val="-3"/>
                <w:sz w:val="21"/>
              </w:rPr>
              <w:t xml:space="preserve"> 万元以上 </w:t>
            </w:r>
            <w:r>
              <w:rPr>
                <w:color w:val="auto"/>
                <w:sz w:val="21"/>
              </w:rPr>
              <w:t>12</w:t>
            </w:r>
            <w:r>
              <w:rPr>
                <w:color w:val="auto"/>
                <w:spacing w:val="-3"/>
                <w:sz w:val="21"/>
              </w:rPr>
              <w:t xml:space="preserve"> 万元以下罚</w:t>
            </w:r>
          </w:p>
          <w:p w14:paraId="23B8371B">
            <w:pPr>
              <w:pStyle w:val="8"/>
              <w:spacing w:before="5"/>
              <w:ind w:left="108" w:right="-15"/>
              <w:jc w:val="both"/>
              <w:rPr>
                <w:color w:val="auto"/>
                <w:sz w:val="21"/>
              </w:rPr>
            </w:pPr>
            <w:r>
              <w:rPr>
                <w:color w:val="auto"/>
                <w:spacing w:val="-26"/>
                <w:sz w:val="21"/>
              </w:rPr>
              <w:t xml:space="preserve">款；货值金额 </w:t>
            </w:r>
            <w:r>
              <w:rPr>
                <w:color w:val="auto"/>
                <w:sz w:val="21"/>
              </w:rPr>
              <w:t>1</w:t>
            </w:r>
            <w:r>
              <w:rPr>
                <w:color w:val="auto"/>
                <w:spacing w:val="-11"/>
                <w:sz w:val="21"/>
              </w:rPr>
              <w:t xml:space="preserve"> 万元以上的，</w:t>
            </w:r>
          </w:p>
          <w:p w14:paraId="728857A6">
            <w:pPr>
              <w:pStyle w:val="8"/>
              <w:spacing w:before="2"/>
              <w:ind w:left="108"/>
              <w:jc w:val="both"/>
              <w:rPr>
                <w:color w:val="auto"/>
                <w:sz w:val="21"/>
              </w:rPr>
            </w:pPr>
            <w:r>
              <w:rPr>
                <w:color w:val="auto"/>
                <w:sz w:val="21"/>
              </w:rPr>
              <w:t>处货值金额 19.5 倍以上</w:t>
            </w:r>
          </w:p>
          <w:p w14:paraId="48BFF548">
            <w:pPr>
              <w:pStyle w:val="8"/>
              <w:spacing w:before="4"/>
              <w:ind w:left="108"/>
              <w:jc w:val="both"/>
              <w:rPr>
                <w:color w:val="auto"/>
                <w:sz w:val="21"/>
              </w:rPr>
            </w:pPr>
            <w:r>
              <w:rPr>
                <w:color w:val="auto"/>
                <w:sz w:val="21"/>
              </w:rPr>
              <w:t>25.5 倍以下罚款。</w:t>
            </w:r>
          </w:p>
        </w:tc>
        <w:tc>
          <w:tcPr>
            <w:tcW w:w="3900" w:type="dxa"/>
            <w:vAlign w:val="top"/>
          </w:tcPr>
          <w:p w14:paraId="47BA9067">
            <w:pPr>
              <w:pStyle w:val="8"/>
              <w:jc w:val="both"/>
              <w:rPr>
                <w:rFonts w:ascii="Times New Roman"/>
                <w:color w:val="auto"/>
                <w:sz w:val="20"/>
              </w:rPr>
            </w:pPr>
          </w:p>
          <w:p w14:paraId="6813703C">
            <w:pPr>
              <w:pStyle w:val="8"/>
              <w:spacing w:before="162"/>
              <w:ind w:left="106"/>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万元的，处 </w:t>
            </w:r>
            <w:r>
              <w:rPr>
                <w:color w:val="auto"/>
                <w:sz w:val="21"/>
              </w:rPr>
              <w:t>12</w:t>
            </w:r>
            <w:r>
              <w:rPr>
                <w:color w:val="auto"/>
                <w:spacing w:val="-11"/>
                <w:sz w:val="21"/>
              </w:rPr>
              <w:t xml:space="preserve"> 万元以上</w:t>
            </w:r>
          </w:p>
          <w:p w14:paraId="104F39F7">
            <w:pPr>
              <w:pStyle w:val="8"/>
              <w:spacing w:before="5"/>
              <w:ind w:left="106"/>
              <w:jc w:val="both"/>
              <w:rPr>
                <w:color w:val="auto"/>
                <w:sz w:val="21"/>
              </w:rPr>
            </w:pPr>
            <w:r>
              <w:rPr>
                <w:color w:val="auto"/>
                <w:sz w:val="21"/>
              </w:rPr>
              <w:t>15</w:t>
            </w:r>
            <w:r>
              <w:rPr>
                <w:color w:val="auto"/>
                <w:spacing w:val="-9"/>
                <w:sz w:val="21"/>
              </w:rPr>
              <w:t xml:space="preserve"> 万元以下罚款；货值金额 </w:t>
            </w:r>
            <w:r>
              <w:rPr>
                <w:color w:val="auto"/>
                <w:sz w:val="21"/>
              </w:rPr>
              <w:t>1</w:t>
            </w:r>
            <w:r>
              <w:rPr>
                <w:color w:val="auto"/>
                <w:spacing w:val="-8"/>
                <w:sz w:val="21"/>
              </w:rPr>
              <w:t xml:space="preserve"> 万元以上</w:t>
            </w:r>
          </w:p>
          <w:p w14:paraId="727036D8">
            <w:pPr>
              <w:pStyle w:val="8"/>
              <w:spacing w:before="2" w:line="244" w:lineRule="auto"/>
              <w:ind w:left="106" w:right="94"/>
              <w:jc w:val="both"/>
              <w:rPr>
                <w:color w:val="auto"/>
                <w:sz w:val="21"/>
              </w:rPr>
            </w:pPr>
            <w:r>
              <w:rPr>
                <w:color w:val="auto"/>
                <w:spacing w:val="-21"/>
                <w:sz w:val="21"/>
              </w:rPr>
              <w:t xml:space="preserve">的，处货值金额 </w:t>
            </w:r>
            <w:r>
              <w:rPr>
                <w:color w:val="auto"/>
                <w:sz w:val="21"/>
              </w:rPr>
              <w:t>25.5</w:t>
            </w:r>
            <w:r>
              <w:rPr>
                <w:color w:val="auto"/>
                <w:spacing w:val="-22"/>
                <w:sz w:val="21"/>
              </w:rPr>
              <w:t xml:space="preserve"> 倍以上 </w:t>
            </w:r>
            <w:r>
              <w:rPr>
                <w:color w:val="auto"/>
                <w:sz w:val="21"/>
              </w:rPr>
              <w:t>30</w:t>
            </w:r>
            <w:r>
              <w:rPr>
                <w:color w:val="auto"/>
                <w:spacing w:val="-12"/>
                <w:sz w:val="21"/>
              </w:rPr>
              <w:t xml:space="preserve"> 倍以下罚款。</w:t>
            </w:r>
          </w:p>
        </w:tc>
      </w:tr>
      <w:tr w14:paraId="5E39C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79EABA16">
            <w:pPr>
              <w:jc w:val="both"/>
              <w:rPr>
                <w:color w:val="auto"/>
                <w:sz w:val="2"/>
                <w:szCs w:val="2"/>
              </w:rPr>
            </w:pPr>
          </w:p>
        </w:tc>
        <w:tc>
          <w:tcPr>
            <w:tcW w:w="655" w:type="dxa"/>
            <w:vMerge w:val="continue"/>
            <w:tcBorders>
              <w:top w:val="nil"/>
            </w:tcBorders>
            <w:vAlign w:val="top"/>
          </w:tcPr>
          <w:p w14:paraId="5878817E">
            <w:pPr>
              <w:jc w:val="both"/>
              <w:rPr>
                <w:color w:val="auto"/>
                <w:sz w:val="2"/>
                <w:szCs w:val="2"/>
              </w:rPr>
            </w:pPr>
          </w:p>
        </w:tc>
        <w:tc>
          <w:tcPr>
            <w:tcW w:w="528" w:type="dxa"/>
            <w:vAlign w:val="top"/>
          </w:tcPr>
          <w:p w14:paraId="283B460E">
            <w:pPr>
              <w:pStyle w:val="8"/>
              <w:spacing w:before="2"/>
              <w:jc w:val="both"/>
              <w:rPr>
                <w:rFonts w:ascii="Times New Roman"/>
                <w:color w:val="auto"/>
                <w:sz w:val="22"/>
              </w:rPr>
            </w:pPr>
          </w:p>
          <w:p w14:paraId="07BA95AA">
            <w:pPr>
              <w:pStyle w:val="8"/>
              <w:spacing w:line="242" w:lineRule="auto"/>
              <w:ind w:left="158" w:right="146"/>
              <w:jc w:val="both"/>
              <w:rPr>
                <w:b/>
                <w:color w:val="auto"/>
                <w:sz w:val="21"/>
              </w:rPr>
            </w:pPr>
            <w:r>
              <w:rPr>
                <w:b/>
                <w:color w:val="auto"/>
                <w:sz w:val="21"/>
              </w:rPr>
              <w:t>情节严重的</w:t>
            </w:r>
          </w:p>
        </w:tc>
        <w:tc>
          <w:tcPr>
            <w:tcW w:w="2715" w:type="dxa"/>
            <w:vAlign w:val="top"/>
          </w:tcPr>
          <w:p w14:paraId="4558F608">
            <w:pPr>
              <w:pStyle w:val="8"/>
              <w:jc w:val="both"/>
              <w:rPr>
                <w:rFonts w:ascii="Times New Roman"/>
                <w:color w:val="auto"/>
                <w:sz w:val="20"/>
              </w:rPr>
            </w:pPr>
          </w:p>
        </w:tc>
        <w:tc>
          <w:tcPr>
            <w:tcW w:w="2714" w:type="dxa"/>
            <w:vAlign w:val="top"/>
          </w:tcPr>
          <w:p w14:paraId="68BD6417">
            <w:pPr>
              <w:pStyle w:val="8"/>
              <w:jc w:val="both"/>
              <w:rPr>
                <w:rFonts w:ascii="Times New Roman"/>
                <w:color w:val="auto"/>
                <w:sz w:val="20"/>
              </w:rPr>
            </w:pPr>
          </w:p>
          <w:p w14:paraId="742D9E4D">
            <w:pPr>
              <w:pStyle w:val="8"/>
              <w:spacing w:before="162" w:line="242" w:lineRule="auto"/>
              <w:ind w:left="108" w:right="92"/>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178DBE1B">
            <w:pPr>
              <w:pStyle w:val="8"/>
              <w:spacing w:before="3"/>
              <w:ind w:left="108"/>
              <w:jc w:val="both"/>
              <w:rPr>
                <w:color w:val="auto"/>
                <w:sz w:val="21"/>
              </w:rPr>
            </w:pPr>
            <w:r>
              <w:rPr>
                <w:color w:val="auto"/>
                <w:sz w:val="21"/>
              </w:rPr>
              <w:t>0.3</w:t>
            </w:r>
            <w:r>
              <w:rPr>
                <w:color w:val="auto"/>
                <w:spacing w:val="-13"/>
                <w:sz w:val="21"/>
              </w:rPr>
              <w:t xml:space="preserve"> 倍以上</w:t>
            </w:r>
            <w:r>
              <w:rPr>
                <w:color w:val="auto"/>
                <w:sz w:val="21"/>
              </w:rPr>
              <w:t>1.1</w:t>
            </w:r>
            <w:r>
              <w:rPr>
                <w:color w:val="auto"/>
                <w:spacing w:val="-16"/>
                <w:sz w:val="21"/>
              </w:rPr>
              <w:t xml:space="preserve"> 倍以下罚款。</w:t>
            </w:r>
          </w:p>
        </w:tc>
        <w:tc>
          <w:tcPr>
            <w:tcW w:w="2717" w:type="dxa"/>
            <w:vAlign w:val="top"/>
          </w:tcPr>
          <w:p w14:paraId="1A8DA57E">
            <w:pPr>
              <w:pStyle w:val="8"/>
              <w:jc w:val="both"/>
              <w:rPr>
                <w:rFonts w:ascii="Times New Roman"/>
                <w:color w:val="auto"/>
                <w:sz w:val="20"/>
              </w:rPr>
            </w:pPr>
          </w:p>
          <w:p w14:paraId="61E78882">
            <w:pPr>
              <w:pStyle w:val="8"/>
              <w:spacing w:before="162" w:line="242" w:lineRule="auto"/>
              <w:ind w:left="108" w:right="95"/>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5A66EBC4">
            <w:pPr>
              <w:pStyle w:val="8"/>
              <w:spacing w:before="3"/>
              <w:ind w:left="108"/>
              <w:jc w:val="both"/>
              <w:rPr>
                <w:color w:val="auto"/>
                <w:sz w:val="21"/>
              </w:rPr>
            </w:pPr>
            <w:r>
              <w:rPr>
                <w:color w:val="auto"/>
                <w:sz w:val="21"/>
              </w:rPr>
              <w:t>1.1</w:t>
            </w:r>
            <w:r>
              <w:rPr>
                <w:color w:val="auto"/>
                <w:spacing w:val="-13"/>
                <w:sz w:val="21"/>
              </w:rPr>
              <w:t xml:space="preserve"> </w:t>
            </w:r>
            <w:r>
              <w:rPr>
                <w:rFonts w:hint="eastAsia"/>
                <w:color w:val="auto"/>
                <w:spacing w:val="-13"/>
                <w:sz w:val="21"/>
                <w:lang w:val="en-US" w:eastAsia="zh-CN"/>
              </w:rPr>
              <w:t>1</w:t>
            </w:r>
            <w:r>
              <w:rPr>
                <w:color w:val="auto"/>
                <w:spacing w:val="-13"/>
                <w:sz w:val="21"/>
              </w:rPr>
              <w:t>倍以上</w:t>
            </w:r>
            <w:r>
              <w:rPr>
                <w:color w:val="auto"/>
                <w:sz w:val="21"/>
              </w:rPr>
              <w:t>2.</w:t>
            </w:r>
            <w:r>
              <w:rPr>
                <w:rFonts w:hint="eastAsia"/>
                <w:color w:val="auto"/>
                <w:sz w:val="21"/>
                <w:lang w:val="en-US" w:eastAsia="zh-CN"/>
              </w:rPr>
              <w:t>19</w:t>
            </w:r>
            <w:r>
              <w:rPr>
                <w:color w:val="auto"/>
                <w:spacing w:val="-16"/>
                <w:sz w:val="21"/>
              </w:rPr>
              <w:t xml:space="preserve"> 倍以下罚款。</w:t>
            </w:r>
          </w:p>
        </w:tc>
        <w:tc>
          <w:tcPr>
            <w:tcW w:w="3900" w:type="dxa"/>
            <w:vAlign w:val="top"/>
          </w:tcPr>
          <w:p w14:paraId="203B75C2">
            <w:pPr>
              <w:pStyle w:val="8"/>
              <w:jc w:val="both"/>
              <w:rPr>
                <w:rFonts w:ascii="Times New Roman"/>
                <w:color w:val="auto"/>
                <w:sz w:val="20"/>
              </w:rPr>
            </w:pPr>
          </w:p>
          <w:p w14:paraId="5DCAD7DB">
            <w:pPr>
              <w:pStyle w:val="8"/>
              <w:jc w:val="both"/>
              <w:rPr>
                <w:rFonts w:ascii="Times New Roman"/>
                <w:color w:val="auto"/>
                <w:sz w:val="26"/>
              </w:rPr>
            </w:pPr>
          </w:p>
          <w:p w14:paraId="7FF808B5">
            <w:pPr>
              <w:pStyle w:val="8"/>
              <w:spacing w:line="242" w:lineRule="auto"/>
              <w:ind w:left="106" w:right="92"/>
              <w:jc w:val="both"/>
              <w:rPr>
                <w:color w:val="auto"/>
                <w:sz w:val="21"/>
              </w:rPr>
            </w:pPr>
            <w:r>
              <w:rPr>
                <w:color w:val="auto"/>
                <w:spacing w:val="-13"/>
                <w:sz w:val="21"/>
              </w:rPr>
              <w:t>对法定代表人、主要负责人、直接负责的</w:t>
            </w:r>
            <w:r>
              <w:rPr>
                <w:color w:val="auto"/>
                <w:spacing w:val="17"/>
                <w:sz w:val="21"/>
              </w:rPr>
              <w:t>主管人员和其他责任人员处所获收入</w:t>
            </w:r>
          </w:p>
          <w:p w14:paraId="43DDD7FB">
            <w:pPr>
              <w:pStyle w:val="8"/>
              <w:spacing w:before="1"/>
              <w:ind w:left="106"/>
              <w:jc w:val="both"/>
              <w:rPr>
                <w:color w:val="auto"/>
                <w:sz w:val="21"/>
              </w:rPr>
            </w:pPr>
            <w:r>
              <w:rPr>
                <w:color w:val="auto"/>
                <w:sz w:val="21"/>
              </w:rPr>
              <w:t>2.</w:t>
            </w:r>
            <w:r>
              <w:rPr>
                <w:rFonts w:hint="eastAsia"/>
                <w:color w:val="auto"/>
                <w:sz w:val="21"/>
                <w:lang w:val="en-US" w:eastAsia="zh-CN"/>
              </w:rPr>
              <w:t>19</w:t>
            </w:r>
            <w:r>
              <w:rPr>
                <w:color w:val="auto"/>
                <w:sz w:val="21"/>
              </w:rPr>
              <w:t xml:space="preserve"> 倍以上 3 倍以下罚款。</w:t>
            </w:r>
          </w:p>
        </w:tc>
      </w:tr>
    </w:tbl>
    <w:p w14:paraId="06379100">
      <w:pPr>
        <w:pStyle w:val="4"/>
        <w:jc w:val="both"/>
        <w:rPr>
          <w:rFonts w:ascii="Times New Roman"/>
          <w:color w:val="auto"/>
          <w:sz w:val="20"/>
        </w:rPr>
      </w:pPr>
    </w:p>
    <w:p w14:paraId="580EDDF5">
      <w:pPr>
        <w:pStyle w:val="4"/>
        <w:jc w:val="both"/>
        <w:rPr>
          <w:rFonts w:ascii="Times New Roman"/>
          <w:color w:val="auto"/>
          <w:sz w:val="20"/>
        </w:rPr>
      </w:pPr>
    </w:p>
    <w:p w14:paraId="6479220B">
      <w:pPr>
        <w:pStyle w:val="4"/>
        <w:jc w:val="both"/>
        <w:rPr>
          <w:rFonts w:ascii="Times New Roman"/>
          <w:color w:val="auto"/>
          <w:sz w:val="20"/>
        </w:rPr>
      </w:pPr>
    </w:p>
    <w:p w14:paraId="56D7B093">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06"/>
        <w:gridCol w:w="478"/>
        <w:gridCol w:w="2715"/>
        <w:gridCol w:w="2714"/>
        <w:gridCol w:w="2717"/>
        <w:gridCol w:w="3900"/>
      </w:tblGrid>
      <w:tr w14:paraId="0F26E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562" w:type="dxa"/>
            <w:vMerge w:val="restart"/>
            <w:vAlign w:val="top"/>
          </w:tcPr>
          <w:p w14:paraId="1EB6F05F">
            <w:pPr>
              <w:pStyle w:val="8"/>
              <w:jc w:val="both"/>
              <w:rPr>
                <w:rFonts w:ascii="Times New Roman"/>
                <w:color w:val="auto"/>
                <w:sz w:val="20"/>
              </w:rPr>
            </w:pPr>
          </w:p>
          <w:p w14:paraId="366700E1">
            <w:pPr>
              <w:pStyle w:val="8"/>
              <w:jc w:val="both"/>
              <w:rPr>
                <w:rFonts w:ascii="Times New Roman"/>
                <w:color w:val="auto"/>
                <w:sz w:val="20"/>
              </w:rPr>
            </w:pPr>
          </w:p>
          <w:p w14:paraId="5CD98BCD">
            <w:pPr>
              <w:pStyle w:val="8"/>
              <w:jc w:val="both"/>
              <w:rPr>
                <w:rFonts w:ascii="Times New Roman"/>
                <w:color w:val="auto"/>
                <w:sz w:val="20"/>
              </w:rPr>
            </w:pPr>
          </w:p>
          <w:p w14:paraId="2C2A4CA6">
            <w:pPr>
              <w:pStyle w:val="8"/>
              <w:jc w:val="both"/>
              <w:rPr>
                <w:rFonts w:ascii="Times New Roman"/>
                <w:color w:val="auto"/>
                <w:sz w:val="20"/>
              </w:rPr>
            </w:pPr>
          </w:p>
          <w:p w14:paraId="5B08C603">
            <w:pPr>
              <w:pStyle w:val="8"/>
              <w:jc w:val="both"/>
              <w:rPr>
                <w:rFonts w:ascii="Times New Roman"/>
                <w:color w:val="auto"/>
                <w:sz w:val="20"/>
              </w:rPr>
            </w:pPr>
          </w:p>
          <w:p w14:paraId="1EEF5160">
            <w:pPr>
              <w:pStyle w:val="8"/>
              <w:jc w:val="both"/>
              <w:rPr>
                <w:rFonts w:ascii="Times New Roman"/>
                <w:color w:val="auto"/>
                <w:sz w:val="20"/>
              </w:rPr>
            </w:pPr>
          </w:p>
          <w:p w14:paraId="7E8FB6CF">
            <w:pPr>
              <w:pStyle w:val="8"/>
              <w:jc w:val="both"/>
              <w:rPr>
                <w:rFonts w:ascii="Times New Roman"/>
                <w:color w:val="auto"/>
                <w:sz w:val="20"/>
              </w:rPr>
            </w:pPr>
          </w:p>
          <w:p w14:paraId="0D299030">
            <w:pPr>
              <w:pStyle w:val="8"/>
              <w:jc w:val="both"/>
              <w:rPr>
                <w:rFonts w:ascii="Times New Roman"/>
                <w:color w:val="auto"/>
                <w:sz w:val="20"/>
              </w:rPr>
            </w:pPr>
          </w:p>
          <w:p w14:paraId="22321284">
            <w:pPr>
              <w:pStyle w:val="8"/>
              <w:jc w:val="both"/>
              <w:rPr>
                <w:rFonts w:ascii="Times New Roman"/>
                <w:color w:val="auto"/>
                <w:sz w:val="20"/>
              </w:rPr>
            </w:pPr>
          </w:p>
          <w:p w14:paraId="432EBF01">
            <w:pPr>
              <w:pStyle w:val="8"/>
              <w:jc w:val="both"/>
              <w:rPr>
                <w:rFonts w:ascii="Times New Roman"/>
                <w:color w:val="auto"/>
                <w:sz w:val="20"/>
              </w:rPr>
            </w:pPr>
          </w:p>
          <w:p w14:paraId="66FDA98C">
            <w:pPr>
              <w:pStyle w:val="8"/>
              <w:jc w:val="both"/>
              <w:rPr>
                <w:rFonts w:ascii="Times New Roman"/>
                <w:color w:val="auto"/>
                <w:sz w:val="20"/>
              </w:rPr>
            </w:pPr>
          </w:p>
          <w:p w14:paraId="06A4871D">
            <w:pPr>
              <w:pStyle w:val="8"/>
              <w:jc w:val="both"/>
              <w:rPr>
                <w:rFonts w:ascii="Times New Roman"/>
                <w:color w:val="auto"/>
                <w:sz w:val="20"/>
              </w:rPr>
            </w:pPr>
          </w:p>
          <w:p w14:paraId="0C612772">
            <w:pPr>
              <w:pStyle w:val="8"/>
              <w:jc w:val="both"/>
              <w:rPr>
                <w:rFonts w:ascii="Times New Roman"/>
                <w:color w:val="auto"/>
                <w:sz w:val="20"/>
              </w:rPr>
            </w:pPr>
          </w:p>
          <w:p w14:paraId="07FA58BB">
            <w:pPr>
              <w:pStyle w:val="8"/>
              <w:jc w:val="both"/>
              <w:rPr>
                <w:rFonts w:ascii="Times New Roman"/>
                <w:color w:val="auto"/>
                <w:sz w:val="20"/>
              </w:rPr>
            </w:pPr>
          </w:p>
          <w:p w14:paraId="451DE24F">
            <w:pPr>
              <w:pStyle w:val="8"/>
              <w:jc w:val="both"/>
              <w:rPr>
                <w:rFonts w:ascii="Times New Roman"/>
                <w:color w:val="auto"/>
                <w:sz w:val="20"/>
              </w:rPr>
            </w:pPr>
          </w:p>
          <w:p w14:paraId="21D2C0FB">
            <w:pPr>
              <w:pStyle w:val="8"/>
              <w:spacing w:before="5"/>
              <w:jc w:val="both"/>
              <w:rPr>
                <w:rFonts w:ascii="Times New Roman"/>
                <w:color w:val="auto"/>
                <w:sz w:val="23"/>
              </w:rPr>
            </w:pPr>
          </w:p>
          <w:p w14:paraId="767FE3A7">
            <w:pPr>
              <w:pStyle w:val="8"/>
              <w:ind w:left="9"/>
              <w:jc w:val="center"/>
              <w:rPr>
                <w:color w:val="auto"/>
                <w:sz w:val="21"/>
              </w:rPr>
            </w:pPr>
            <w:r>
              <w:rPr>
                <w:b/>
                <w:bCs/>
                <w:color w:val="auto"/>
                <w:w w:val="100"/>
                <w:sz w:val="21"/>
              </w:rPr>
              <w:t>2</w:t>
            </w:r>
          </w:p>
        </w:tc>
        <w:tc>
          <w:tcPr>
            <w:tcW w:w="1184" w:type="dxa"/>
            <w:gridSpan w:val="2"/>
            <w:vAlign w:val="top"/>
          </w:tcPr>
          <w:p w14:paraId="33C48EB1">
            <w:pPr>
              <w:pStyle w:val="8"/>
              <w:spacing w:before="9"/>
              <w:jc w:val="both"/>
              <w:rPr>
                <w:rFonts w:ascii="Times New Roman"/>
                <w:color w:val="auto"/>
                <w:sz w:val="27"/>
              </w:rPr>
            </w:pPr>
          </w:p>
          <w:p w14:paraId="4C8D2EB9">
            <w:pPr>
              <w:pStyle w:val="8"/>
              <w:ind w:left="170"/>
              <w:jc w:val="both"/>
              <w:rPr>
                <w:b/>
                <w:color w:val="auto"/>
                <w:sz w:val="21"/>
              </w:rPr>
            </w:pPr>
            <w:r>
              <w:rPr>
                <w:b/>
                <w:color w:val="auto"/>
                <w:sz w:val="21"/>
              </w:rPr>
              <w:t>违法行为</w:t>
            </w:r>
          </w:p>
        </w:tc>
        <w:tc>
          <w:tcPr>
            <w:tcW w:w="12046" w:type="dxa"/>
            <w:gridSpan w:val="4"/>
            <w:vAlign w:val="top"/>
          </w:tcPr>
          <w:p w14:paraId="2A2502E3">
            <w:pPr>
              <w:pStyle w:val="8"/>
              <w:spacing w:before="9"/>
              <w:jc w:val="both"/>
              <w:rPr>
                <w:rFonts w:ascii="Times New Roman"/>
                <w:color w:val="auto"/>
                <w:sz w:val="27"/>
              </w:rPr>
            </w:pPr>
          </w:p>
          <w:p w14:paraId="6EE8578F">
            <w:pPr>
              <w:pStyle w:val="8"/>
              <w:ind w:left="527"/>
              <w:jc w:val="both"/>
              <w:rPr>
                <w:color w:val="auto"/>
                <w:sz w:val="21"/>
              </w:rPr>
            </w:pPr>
            <w:r>
              <w:rPr>
                <w:color w:val="auto"/>
                <w:sz w:val="21"/>
              </w:rPr>
              <w:t>在申请医疗器械行政许可时提供虚假资料或者采取其他欺骗手段的</w:t>
            </w:r>
          </w:p>
        </w:tc>
      </w:tr>
      <w:tr w14:paraId="1F05A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562" w:type="dxa"/>
            <w:vMerge w:val="continue"/>
            <w:tcBorders>
              <w:top w:val="nil"/>
            </w:tcBorders>
            <w:vAlign w:val="top"/>
          </w:tcPr>
          <w:p w14:paraId="5C23075A">
            <w:pPr>
              <w:jc w:val="both"/>
              <w:rPr>
                <w:color w:val="auto"/>
                <w:sz w:val="2"/>
                <w:szCs w:val="2"/>
              </w:rPr>
            </w:pPr>
          </w:p>
        </w:tc>
        <w:tc>
          <w:tcPr>
            <w:tcW w:w="1184" w:type="dxa"/>
            <w:gridSpan w:val="2"/>
            <w:vAlign w:val="top"/>
          </w:tcPr>
          <w:p w14:paraId="66011730">
            <w:pPr>
              <w:pStyle w:val="8"/>
              <w:jc w:val="both"/>
              <w:rPr>
                <w:rFonts w:ascii="Times New Roman"/>
                <w:color w:val="auto"/>
                <w:sz w:val="20"/>
              </w:rPr>
            </w:pPr>
          </w:p>
          <w:p w14:paraId="44B8BAF5">
            <w:pPr>
              <w:pStyle w:val="8"/>
              <w:jc w:val="both"/>
              <w:rPr>
                <w:rFonts w:ascii="Times New Roman"/>
                <w:color w:val="auto"/>
                <w:sz w:val="20"/>
              </w:rPr>
            </w:pPr>
          </w:p>
          <w:p w14:paraId="7004C4E3">
            <w:pPr>
              <w:pStyle w:val="8"/>
              <w:spacing w:before="3"/>
              <w:jc w:val="both"/>
              <w:rPr>
                <w:rFonts w:ascii="Times New Roman"/>
                <w:color w:val="auto"/>
                <w:sz w:val="22"/>
              </w:rPr>
            </w:pPr>
          </w:p>
          <w:p w14:paraId="7A1AF29F">
            <w:pPr>
              <w:pStyle w:val="8"/>
              <w:ind w:left="170"/>
              <w:jc w:val="both"/>
              <w:rPr>
                <w:b/>
                <w:color w:val="auto"/>
                <w:sz w:val="21"/>
              </w:rPr>
            </w:pPr>
            <w:r>
              <w:rPr>
                <w:b/>
                <w:color w:val="auto"/>
                <w:sz w:val="21"/>
              </w:rPr>
              <w:t>处罚依据</w:t>
            </w:r>
          </w:p>
        </w:tc>
        <w:tc>
          <w:tcPr>
            <w:tcW w:w="12046" w:type="dxa"/>
            <w:gridSpan w:val="4"/>
            <w:vAlign w:val="top"/>
          </w:tcPr>
          <w:p w14:paraId="03A2C3E6">
            <w:pPr>
              <w:jc w:val="both"/>
              <w:rPr>
                <w:color w:val="auto"/>
                <w:sz w:val="21"/>
              </w:rPr>
            </w:pPr>
            <w:r>
              <w:rPr>
                <w:rFonts w:ascii="仿宋" w:hAnsi="仿宋" w:eastAsia="仿宋" w:cs="仿宋"/>
                <w:color w:val="auto"/>
                <w:spacing w:val="-6"/>
                <w:kern w:val="2"/>
                <w:sz w:val="21"/>
                <w:szCs w:val="22"/>
                <w:lang w:val="zh-CN" w:eastAsia="zh-CN" w:bidi="zh-CN"/>
              </w:rPr>
              <w:t>根据《医疗器械监督管理条例》第八十三条第一款规定，不予行政许可，已经取得行政许可的，由作出行政许可决定的部门撤销行政许可，没收违法所得、违法生产经营使用的医疗器械，10 年内不受理相关责任人以及单位提出的医疗器械许可申请；违法生产经营使用的医疗器械货值金额不足 1 万元的，并处 5 万元以上 15 万元以下罚款；货值金额 1 万元以上的，并处货值金额 15倍以上 30 倍以下罚款；情节严重的，责令停产停业，对违法单位的法定代表人、主要负责人、直接负责的主管人员和其他责任人员，没收违法行为发生期间自本单位所获收入，并处所获收入 30%以上 3 倍以下罚款，终身禁止其从事医疗器械生产经营活动。</w:t>
            </w:r>
          </w:p>
        </w:tc>
      </w:tr>
      <w:tr w14:paraId="4157A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continue"/>
            <w:tcBorders>
              <w:top w:val="nil"/>
            </w:tcBorders>
            <w:vAlign w:val="top"/>
          </w:tcPr>
          <w:p w14:paraId="6A936EB4">
            <w:pPr>
              <w:jc w:val="both"/>
              <w:rPr>
                <w:color w:val="auto"/>
                <w:sz w:val="2"/>
                <w:szCs w:val="2"/>
              </w:rPr>
            </w:pPr>
          </w:p>
        </w:tc>
        <w:tc>
          <w:tcPr>
            <w:tcW w:w="1184" w:type="dxa"/>
            <w:gridSpan w:val="2"/>
            <w:vAlign w:val="top"/>
          </w:tcPr>
          <w:p w14:paraId="1443C268">
            <w:pPr>
              <w:pStyle w:val="8"/>
              <w:spacing w:before="149"/>
              <w:ind w:left="170"/>
              <w:jc w:val="both"/>
              <w:rPr>
                <w:b/>
                <w:color w:val="auto"/>
                <w:sz w:val="21"/>
              </w:rPr>
            </w:pPr>
            <w:r>
              <w:rPr>
                <w:b/>
                <w:color w:val="auto"/>
                <w:sz w:val="21"/>
              </w:rPr>
              <w:t>裁量等级</w:t>
            </w:r>
          </w:p>
        </w:tc>
        <w:tc>
          <w:tcPr>
            <w:tcW w:w="2715" w:type="dxa"/>
            <w:vAlign w:val="top"/>
          </w:tcPr>
          <w:p w14:paraId="6EDE5069">
            <w:pPr>
              <w:pStyle w:val="8"/>
              <w:spacing w:before="149"/>
              <w:ind w:left="107"/>
              <w:jc w:val="both"/>
              <w:rPr>
                <w:b/>
                <w:color w:val="auto"/>
                <w:sz w:val="21"/>
              </w:rPr>
            </w:pPr>
            <w:r>
              <w:rPr>
                <w:b/>
                <w:color w:val="auto"/>
                <w:sz w:val="21"/>
              </w:rPr>
              <w:t>减轻</w:t>
            </w:r>
          </w:p>
        </w:tc>
        <w:tc>
          <w:tcPr>
            <w:tcW w:w="2714" w:type="dxa"/>
            <w:vAlign w:val="top"/>
          </w:tcPr>
          <w:p w14:paraId="0B7A4101">
            <w:pPr>
              <w:pStyle w:val="8"/>
              <w:spacing w:before="149"/>
              <w:ind w:left="107"/>
              <w:jc w:val="both"/>
              <w:rPr>
                <w:b/>
                <w:color w:val="auto"/>
                <w:sz w:val="21"/>
              </w:rPr>
            </w:pPr>
            <w:r>
              <w:rPr>
                <w:b/>
                <w:color w:val="auto"/>
                <w:sz w:val="21"/>
              </w:rPr>
              <w:t>从轻</w:t>
            </w:r>
          </w:p>
        </w:tc>
        <w:tc>
          <w:tcPr>
            <w:tcW w:w="2717" w:type="dxa"/>
            <w:vAlign w:val="top"/>
          </w:tcPr>
          <w:p w14:paraId="02F3FC7A">
            <w:pPr>
              <w:pStyle w:val="8"/>
              <w:spacing w:before="149"/>
              <w:ind w:left="107"/>
              <w:jc w:val="both"/>
              <w:rPr>
                <w:b/>
                <w:color w:val="auto"/>
                <w:sz w:val="21"/>
              </w:rPr>
            </w:pPr>
            <w:r>
              <w:rPr>
                <w:b/>
                <w:color w:val="auto"/>
                <w:sz w:val="21"/>
              </w:rPr>
              <w:t>一般</w:t>
            </w:r>
          </w:p>
        </w:tc>
        <w:tc>
          <w:tcPr>
            <w:tcW w:w="3900" w:type="dxa"/>
            <w:vAlign w:val="top"/>
          </w:tcPr>
          <w:p w14:paraId="36D124AC">
            <w:pPr>
              <w:pStyle w:val="8"/>
              <w:spacing w:before="149"/>
              <w:ind w:left="105"/>
              <w:jc w:val="both"/>
              <w:rPr>
                <w:b/>
                <w:color w:val="auto"/>
                <w:sz w:val="21"/>
              </w:rPr>
            </w:pPr>
            <w:r>
              <w:rPr>
                <w:b/>
                <w:color w:val="auto"/>
                <w:sz w:val="21"/>
              </w:rPr>
              <w:t>从重</w:t>
            </w:r>
          </w:p>
        </w:tc>
      </w:tr>
      <w:tr w14:paraId="2B05C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79FC0224">
            <w:pPr>
              <w:jc w:val="both"/>
              <w:rPr>
                <w:color w:val="auto"/>
                <w:sz w:val="2"/>
                <w:szCs w:val="2"/>
              </w:rPr>
            </w:pPr>
          </w:p>
        </w:tc>
        <w:tc>
          <w:tcPr>
            <w:tcW w:w="1184" w:type="dxa"/>
            <w:gridSpan w:val="2"/>
            <w:vAlign w:val="top"/>
          </w:tcPr>
          <w:p w14:paraId="690F2396">
            <w:pPr>
              <w:pStyle w:val="8"/>
              <w:spacing w:before="3"/>
              <w:jc w:val="both"/>
              <w:rPr>
                <w:rFonts w:ascii="Times New Roman"/>
                <w:color w:val="auto"/>
                <w:sz w:val="20"/>
              </w:rPr>
            </w:pPr>
          </w:p>
          <w:p w14:paraId="613B944D">
            <w:pPr>
              <w:pStyle w:val="8"/>
              <w:spacing w:before="1"/>
              <w:ind w:left="170"/>
              <w:jc w:val="both"/>
              <w:rPr>
                <w:b/>
                <w:color w:val="auto"/>
                <w:sz w:val="21"/>
              </w:rPr>
            </w:pPr>
            <w:r>
              <w:rPr>
                <w:b/>
                <w:color w:val="auto"/>
                <w:sz w:val="21"/>
              </w:rPr>
              <w:t>裁量情节</w:t>
            </w:r>
          </w:p>
        </w:tc>
        <w:tc>
          <w:tcPr>
            <w:tcW w:w="2715" w:type="dxa"/>
            <w:vAlign w:val="top"/>
          </w:tcPr>
          <w:p w14:paraId="3C9AF1EF">
            <w:pPr>
              <w:pStyle w:val="8"/>
              <w:spacing w:before="97" w:line="242" w:lineRule="auto"/>
              <w:ind w:left="107" w:right="98"/>
              <w:jc w:val="both"/>
              <w:rPr>
                <w:color w:val="auto"/>
                <w:sz w:val="21"/>
              </w:rPr>
            </w:pPr>
            <w:r>
              <w:rPr>
                <w:color w:val="auto"/>
                <w:sz w:val="21"/>
              </w:rPr>
              <w:t>符合裁量规定减轻行政处罚情形的。</w:t>
            </w:r>
          </w:p>
        </w:tc>
        <w:tc>
          <w:tcPr>
            <w:tcW w:w="2714" w:type="dxa"/>
            <w:vAlign w:val="top"/>
          </w:tcPr>
          <w:p w14:paraId="66CC189D">
            <w:pPr>
              <w:pStyle w:val="8"/>
              <w:spacing w:before="97" w:line="242" w:lineRule="auto"/>
              <w:ind w:left="107" w:right="95"/>
              <w:jc w:val="both"/>
              <w:rPr>
                <w:color w:val="auto"/>
                <w:sz w:val="21"/>
              </w:rPr>
            </w:pPr>
            <w:r>
              <w:rPr>
                <w:color w:val="auto"/>
                <w:sz w:val="21"/>
              </w:rPr>
              <w:t>符合裁量规定从轻行政处罚情形的。</w:t>
            </w:r>
          </w:p>
        </w:tc>
        <w:tc>
          <w:tcPr>
            <w:tcW w:w="2717" w:type="dxa"/>
            <w:vAlign w:val="top"/>
          </w:tcPr>
          <w:p w14:paraId="6714FDB2">
            <w:pPr>
              <w:pStyle w:val="8"/>
              <w:spacing w:before="97" w:line="242" w:lineRule="auto"/>
              <w:ind w:left="107" w:right="98"/>
              <w:jc w:val="both"/>
              <w:rPr>
                <w:color w:val="auto"/>
                <w:sz w:val="21"/>
              </w:rPr>
            </w:pPr>
            <w:r>
              <w:rPr>
                <w:color w:val="auto"/>
                <w:sz w:val="21"/>
              </w:rPr>
              <w:t>符合裁量规定一般行政处罚情形的。</w:t>
            </w:r>
          </w:p>
        </w:tc>
        <w:tc>
          <w:tcPr>
            <w:tcW w:w="3900" w:type="dxa"/>
            <w:vAlign w:val="top"/>
          </w:tcPr>
          <w:p w14:paraId="26A1F861">
            <w:pPr>
              <w:pStyle w:val="8"/>
              <w:spacing w:before="3"/>
              <w:jc w:val="both"/>
              <w:rPr>
                <w:rFonts w:ascii="Times New Roman"/>
                <w:color w:val="auto"/>
                <w:sz w:val="20"/>
              </w:rPr>
            </w:pPr>
          </w:p>
          <w:p w14:paraId="3642D8E7">
            <w:pPr>
              <w:pStyle w:val="8"/>
              <w:spacing w:before="1"/>
              <w:ind w:left="105"/>
              <w:jc w:val="both"/>
              <w:rPr>
                <w:color w:val="auto"/>
                <w:sz w:val="21"/>
              </w:rPr>
            </w:pPr>
            <w:r>
              <w:rPr>
                <w:color w:val="auto"/>
                <w:sz w:val="21"/>
              </w:rPr>
              <w:t>符合裁量规定从重行政处罚情形的。</w:t>
            </w:r>
          </w:p>
        </w:tc>
      </w:tr>
      <w:tr w14:paraId="1DE72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6D8B7CCC">
            <w:pPr>
              <w:jc w:val="both"/>
              <w:rPr>
                <w:color w:val="auto"/>
                <w:sz w:val="2"/>
                <w:szCs w:val="2"/>
              </w:rPr>
            </w:pPr>
          </w:p>
        </w:tc>
        <w:tc>
          <w:tcPr>
            <w:tcW w:w="706" w:type="dxa"/>
            <w:vMerge w:val="restart"/>
            <w:vAlign w:val="top"/>
          </w:tcPr>
          <w:p w14:paraId="5017CA3F">
            <w:pPr>
              <w:pStyle w:val="8"/>
              <w:jc w:val="both"/>
              <w:rPr>
                <w:rFonts w:ascii="Times New Roman"/>
                <w:color w:val="auto"/>
                <w:sz w:val="20"/>
              </w:rPr>
            </w:pPr>
          </w:p>
          <w:p w14:paraId="597D443F">
            <w:pPr>
              <w:pStyle w:val="8"/>
              <w:jc w:val="both"/>
              <w:rPr>
                <w:rFonts w:ascii="Times New Roman"/>
                <w:color w:val="auto"/>
                <w:sz w:val="20"/>
              </w:rPr>
            </w:pPr>
          </w:p>
          <w:p w14:paraId="546C8957">
            <w:pPr>
              <w:pStyle w:val="8"/>
              <w:jc w:val="both"/>
              <w:rPr>
                <w:rFonts w:ascii="Times New Roman"/>
                <w:color w:val="auto"/>
                <w:sz w:val="20"/>
              </w:rPr>
            </w:pPr>
          </w:p>
          <w:p w14:paraId="3B408219">
            <w:pPr>
              <w:pStyle w:val="8"/>
              <w:jc w:val="both"/>
              <w:rPr>
                <w:rFonts w:ascii="Times New Roman"/>
                <w:color w:val="auto"/>
                <w:sz w:val="20"/>
              </w:rPr>
            </w:pPr>
          </w:p>
          <w:p w14:paraId="004CBE28">
            <w:pPr>
              <w:pStyle w:val="8"/>
              <w:jc w:val="both"/>
              <w:rPr>
                <w:rFonts w:ascii="Times New Roman"/>
                <w:color w:val="auto"/>
                <w:sz w:val="20"/>
              </w:rPr>
            </w:pPr>
          </w:p>
          <w:p w14:paraId="513E05A2">
            <w:pPr>
              <w:pStyle w:val="8"/>
              <w:jc w:val="both"/>
              <w:rPr>
                <w:rFonts w:ascii="Times New Roman"/>
                <w:color w:val="auto"/>
                <w:sz w:val="20"/>
              </w:rPr>
            </w:pPr>
          </w:p>
          <w:p w14:paraId="5363C334">
            <w:pPr>
              <w:pStyle w:val="8"/>
              <w:spacing w:before="6"/>
              <w:jc w:val="both"/>
              <w:rPr>
                <w:rFonts w:ascii="Times New Roman"/>
                <w:color w:val="auto"/>
                <w:sz w:val="19"/>
              </w:rPr>
            </w:pPr>
          </w:p>
          <w:p w14:paraId="07FE08DE">
            <w:pPr>
              <w:pStyle w:val="8"/>
              <w:spacing w:line="244" w:lineRule="auto"/>
              <w:ind w:left="141" w:right="130"/>
              <w:jc w:val="both"/>
              <w:rPr>
                <w:b/>
                <w:color w:val="auto"/>
                <w:sz w:val="21"/>
              </w:rPr>
            </w:pPr>
            <w:r>
              <w:rPr>
                <w:b/>
                <w:color w:val="auto"/>
                <w:sz w:val="21"/>
              </w:rPr>
              <w:t>裁量基准</w:t>
            </w:r>
          </w:p>
        </w:tc>
        <w:tc>
          <w:tcPr>
            <w:tcW w:w="478" w:type="dxa"/>
            <w:vAlign w:val="top"/>
          </w:tcPr>
          <w:p w14:paraId="6CC22835">
            <w:pPr>
              <w:pStyle w:val="8"/>
              <w:jc w:val="both"/>
              <w:rPr>
                <w:rFonts w:ascii="Times New Roman"/>
                <w:color w:val="auto"/>
                <w:sz w:val="20"/>
              </w:rPr>
            </w:pPr>
          </w:p>
          <w:p w14:paraId="0DC431E2">
            <w:pPr>
              <w:pStyle w:val="8"/>
              <w:spacing w:before="162" w:line="242" w:lineRule="auto"/>
              <w:ind w:left="131" w:right="123"/>
              <w:jc w:val="both"/>
              <w:rPr>
                <w:b/>
                <w:color w:val="auto"/>
                <w:sz w:val="21"/>
              </w:rPr>
            </w:pPr>
            <w:r>
              <w:rPr>
                <w:b/>
                <w:color w:val="auto"/>
                <w:sz w:val="21"/>
              </w:rPr>
              <w:t>一般情形</w:t>
            </w:r>
          </w:p>
        </w:tc>
        <w:tc>
          <w:tcPr>
            <w:tcW w:w="2715" w:type="dxa"/>
            <w:vAlign w:val="top"/>
          </w:tcPr>
          <w:p w14:paraId="6443EFF4">
            <w:pPr>
              <w:pStyle w:val="8"/>
              <w:jc w:val="both"/>
              <w:rPr>
                <w:rFonts w:ascii="Times New Roman"/>
                <w:color w:val="auto"/>
                <w:sz w:val="20"/>
              </w:rPr>
            </w:pPr>
          </w:p>
        </w:tc>
        <w:tc>
          <w:tcPr>
            <w:tcW w:w="2714" w:type="dxa"/>
            <w:vAlign w:val="top"/>
          </w:tcPr>
          <w:p w14:paraId="318B350A">
            <w:pPr>
              <w:pStyle w:val="8"/>
              <w:spacing w:before="2"/>
              <w:jc w:val="both"/>
              <w:rPr>
                <w:rFonts w:ascii="Times New Roman"/>
                <w:color w:val="auto"/>
                <w:sz w:val="22"/>
              </w:rPr>
            </w:pPr>
          </w:p>
          <w:p w14:paraId="0A08031E">
            <w:pPr>
              <w:pStyle w:val="8"/>
              <w:ind w:left="107"/>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14:paraId="6B5DCC87">
            <w:pPr>
              <w:pStyle w:val="8"/>
              <w:spacing w:before="5"/>
              <w:ind w:left="107" w:right="-15"/>
              <w:jc w:val="both"/>
              <w:rPr>
                <w:color w:val="auto"/>
                <w:sz w:val="21"/>
              </w:rPr>
            </w:pPr>
            <w:r>
              <w:rPr>
                <w:color w:val="auto"/>
                <w:sz w:val="21"/>
              </w:rPr>
              <w:t>5</w:t>
            </w:r>
            <w:r>
              <w:rPr>
                <w:color w:val="auto"/>
                <w:spacing w:val="-11"/>
                <w:sz w:val="21"/>
              </w:rPr>
              <w:t xml:space="preserve"> 万元以上</w:t>
            </w:r>
            <w:r>
              <w:rPr>
                <w:color w:val="auto"/>
                <w:sz w:val="21"/>
              </w:rPr>
              <w:t>8</w:t>
            </w:r>
            <w:r>
              <w:rPr>
                <w:color w:val="auto"/>
                <w:spacing w:val="-13"/>
                <w:sz w:val="21"/>
              </w:rPr>
              <w:t xml:space="preserve"> 万元以下罚款；</w:t>
            </w:r>
          </w:p>
          <w:p w14:paraId="714766D7">
            <w:pPr>
              <w:pStyle w:val="8"/>
              <w:spacing w:before="2"/>
              <w:ind w:left="107"/>
              <w:jc w:val="both"/>
              <w:rPr>
                <w:color w:val="auto"/>
                <w:sz w:val="21"/>
              </w:rPr>
            </w:pPr>
            <w:r>
              <w:rPr>
                <w:color w:val="auto"/>
                <w:spacing w:val="-11"/>
                <w:sz w:val="21"/>
              </w:rPr>
              <w:t xml:space="preserve">货值金额 </w:t>
            </w:r>
            <w:r>
              <w:rPr>
                <w:color w:val="auto"/>
                <w:sz w:val="21"/>
              </w:rPr>
              <w:t>1</w:t>
            </w:r>
            <w:r>
              <w:rPr>
                <w:color w:val="auto"/>
                <w:spacing w:val="-12"/>
                <w:sz w:val="21"/>
              </w:rPr>
              <w:t xml:space="preserve"> 万元以上的，处</w:t>
            </w:r>
          </w:p>
          <w:p w14:paraId="20083412">
            <w:pPr>
              <w:pStyle w:val="8"/>
              <w:spacing w:before="5" w:line="242" w:lineRule="auto"/>
              <w:ind w:left="107" w:right="94"/>
              <w:jc w:val="both"/>
              <w:rPr>
                <w:color w:val="auto"/>
                <w:sz w:val="21"/>
              </w:rPr>
            </w:pPr>
            <w:r>
              <w:rPr>
                <w:color w:val="auto"/>
                <w:spacing w:val="-13"/>
                <w:sz w:val="21"/>
              </w:rPr>
              <w:t xml:space="preserve">货值金额 </w:t>
            </w:r>
            <w:r>
              <w:rPr>
                <w:color w:val="auto"/>
                <w:sz w:val="21"/>
              </w:rPr>
              <w:t>15</w:t>
            </w:r>
            <w:r>
              <w:rPr>
                <w:color w:val="auto"/>
                <w:spacing w:val="-24"/>
                <w:sz w:val="21"/>
              </w:rPr>
              <w:t xml:space="preserve"> 倍以上 </w:t>
            </w:r>
            <w:r>
              <w:rPr>
                <w:color w:val="auto"/>
                <w:sz w:val="21"/>
              </w:rPr>
              <w:t>19.5</w:t>
            </w:r>
            <w:r>
              <w:rPr>
                <w:color w:val="auto"/>
                <w:spacing w:val="-36"/>
                <w:sz w:val="21"/>
              </w:rPr>
              <w:t xml:space="preserve"> 倍</w:t>
            </w:r>
            <w:r>
              <w:rPr>
                <w:color w:val="auto"/>
                <w:spacing w:val="-1"/>
                <w:sz w:val="21"/>
              </w:rPr>
              <w:t>以下罚款。</w:t>
            </w:r>
          </w:p>
        </w:tc>
        <w:tc>
          <w:tcPr>
            <w:tcW w:w="2717" w:type="dxa"/>
            <w:vAlign w:val="top"/>
          </w:tcPr>
          <w:p w14:paraId="5175BB72">
            <w:pPr>
              <w:pStyle w:val="8"/>
              <w:spacing w:before="2"/>
              <w:jc w:val="both"/>
              <w:rPr>
                <w:rFonts w:ascii="Times New Roman"/>
                <w:color w:val="auto"/>
                <w:sz w:val="22"/>
              </w:rPr>
            </w:pPr>
          </w:p>
          <w:p w14:paraId="7D0FAE3E">
            <w:pPr>
              <w:pStyle w:val="8"/>
              <w:ind w:left="107"/>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14:paraId="2A793DCC">
            <w:pPr>
              <w:pStyle w:val="8"/>
              <w:spacing w:before="5"/>
              <w:ind w:left="107"/>
              <w:jc w:val="both"/>
              <w:rPr>
                <w:color w:val="auto"/>
                <w:sz w:val="21"/>
              </w:rPr>
            </w:pPr>
            <w:r>
              <w:rPr>
                <w:color w:val="auto"/>
                <w:sz w:val="21"/>
              </w:rPr>
              <w:t>8</w:t>
            </w:r>
            <w:r>
              <w:rPr>
                <w:color w:val="auto"/>
                <w:spacing w:val="-3"/>
                <w:sz w:val="21"/>
              </w:rPr>
              <w:t xml:space="preserve"> 万元以上 </w:t>
            </w:r>
            <w:r>
              <w:rPr>
                <w:color w:val="auto"/>
                <w:sz w:val="21"/>
              </w:rPr>
              <w:t>12</w:t>
            </w:r>
            <w:r>
              <w:rPr>
                <w:color w:val="auto"/>
                <w:spacing w:val="-3"/>
                <w:sz w:val="21"/>
              </w:rPr>
              <w:t xml:space="preserve"> 万元以下罚</w:t>
            </w:r>
          </w:p>
          <w:p w14:paraId="04096017">
            <w:pPr>
              <w:pStyle w:val="8"/>
              <w:spacing w:before="2"/>
              <w:ind w:left="107" w:right="-15"/>
              <w:jc w:val="both"/>
              <w:rPr>
                <w:color w:val="auto"/>
                <w:sz w:val="21"/>
              </w:rPr>
            </w:pPr>
            <w:r>
              <w:rPr>
                <w:color w:val="auto"/>
                <w:spacing w:val="-26"/>
                <w:sz w:val="21"/>
              </w:rPr>
              <w:t xml:space="preserve">款；货值金额 </w:t>
            </w:r>
            <w:r>
              <w:rPr>
                <w:color w:val="auto"/>
                <w:sz w:val="21"/>
              </w:rPr>
              <w:t>1</w:t>
            </w:r>
            <w:r>
              <w:rPr>
                <w:color w:val="auto"/>
                <w:spacing w:val="-11"/>
                <w:sz w:val="21"/>
              </w:rPr>
              <w:t xml:space="preserve"> 万元以上的，</w:t>
            </w:r>
          </w:p>
          <w:p w14:paraId="269A42C3">
            <w:pPr>
              <w:pStyle w:val="8"/>
              <w:spacing w:before="5"/>
              <w:ind w:left="107"/>
              <w:jc w:val="both"/>
              <w:rPr>
                <w:color w:val="auto"/>
                <w:sz w:val="21"/>
              </w:rPr>
            </w:pPr>
            <w:r>
              <w:rPr>
                <w:color w:val="auto"/>
                <w:sz w:val="21"/>
              </w:rPr>
              <w:t>处货值金额 19.5 倍以上</w:t>
            </w:r>
          </w:p>
          <w:p w14:paraId="2B99AE00">
            <w:pPr>
              <w:pStyle w:val="8"/>
              <w:spacing w:before="2"/>
              <w:ind w:left="107"/>
              <w:jc w:val="both"/>
              <w:rPr>
                <w:color w:val="auto"/>
                <w:sz w:val="21"/>
              </w:rPr>
            </w:pPr>
            <w:r>
              <w:rPr>
                <w:color w:val="auto"/>
                <w:sz w:val="21"/>
              </w:rPr>
              <w:t>25.5 倍以下罚款。</w:t>
            </w:r>
          </w:p>
        </w:tc>
        <w:tc>
          <w:tcPr>
            <w:tcW w:w="3900" w:type="dxa"/>
            <w:vAlign w:val="top"/>
          </w:tcPr>
          <w:p w14:paraId="56800CC6">
            <w:pPr>
              <w:pStyle w:val="8"/>
              <w:jc w:val="both"/>
              <w:rPr>
                <w:rFonts w:ascii="Times New Roman"/>
                <w:color w:val="auto"/>
                <w:sz w:val="20"/>
              </w:rPr>
            </w:pPr>
          </w:p>
          <w:p w14:paraId="7C22B3A4">
            <w:pPr>
              <w:pStyle w:val="8"/>
              <w:spacing w:before="162"/>
              <w:ind w:left="105"/>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万元的，处 </w:t>
            </w:r>
            <w:r>
              <w:rPr>
                <w:color w:val="auto"/>
                <w:sz w:val="21"/>
              </w:rPr>
              <w:t>12</w:t>
            </w:r>
            <w:r>
              <w:rPr>
                <w:color w:val="auto"/>
                <w:spacing w:val="-11"/>
                <w:sz w:val="21"/>
              </w:rPr>
              <w:t xml:space="preserve"> 万元以上</w:t>
            </w:r>
          </w:p>
          <w:p w14:paraId="60116B18">
            <w:pPr>
              <w:pStyle w:val="8"/>
              <w:spacing w:before="2"/>
              <w:ind w:left="105"/>
              <w:jc w:val="both"/>
              <w:rPr>
                <w:color w:val="auto"/>
                <w:sz w:val="21"/>
              </w:rPr>
            </w:pPr>
            <w:r>
              <w:rPr>
                <w:color w:val="auto"/>
                <w:sz w:val="21"/>
              </w:rPr>
              <w:t>15</w:t>
            </w:r>
            <w:r>
              <w:rPr>
                <w:color w:val="auto"/>
                <w:spacing w:val="-9"/>
                <w:sz w:val="21"/>
              </w:rPr>
              <w:t xml:space="preserve"> 万元以下罚款；货值金额 </w:t>
            </w:r>
            <w:r>
              <w:rPr>
                <w:color w:val="auto"/>
                <w:sz w:val="21"/>
              </w:rPr>
              <w:t>1</w:t>
            </w:r>
            <w:r>
              <w:rPr>
                <w:color w:val="auto"/>
                <w:spacing w:val="-8"/>
                <w:sz w:val="21"/>
              </w:rPr>
              <w:t xml:space="preserve"> 万元以上</w:t>
            </w:r>
          </w:p>
          <w:p w14:paraId="17DB3F2F">
            <w:pPr>
              <w:pStyle w:val="8"/>
              <w:spacing w:before="5" w:line="242" w:lineRule="auto"/>
              <w:ind w:left="105" w:right="95"/>
              <w:jc w:val="both"/>
              <w:rPr>
                <w:color w:val="auto"/>
                <w:sz w:val="21"/>
              </w:rPr>
            </w:pPr>
            <w:r>
              <w:rPr>
                <w:color w:val="auto"/>
                <w:spacing w:val="-21"/>
                <w:sz w:val="21"/>
              </w:rPr>
              <w:t xml:space="preserve">的，处货值金额 </w:t>
            </w:r>
            <w:r>
              <w:rPr>
                <w:color w:val="auto"/>
                <w:sz w:val="21"/>
              </w:rPr>
              <w:t>25.5</w:t>
            </w:r>
            <w:r>
              <w:rPr>
                <w:color w:val="auto"/>
                <w:spacing w:val="-22"/>
                <w:sz w:val="21"/>
              </w:rPr>
              <w:t xml:space="preserve"> 倍以上 </w:t>
            </w:r>
            <w:r>
              <w:rPr>
                <w:color w:val="auto"/>
                <w:sz w:val="21"/>
              </w:rPr>
              <w:t>30</w:t>
            </w:r>
            <w:r>
              <w:rPr>
                <w:color w:val="auto"/>
                <w:spacing w:val="-12"/>
                <w:sz w:val="21"/>
              </w:rPr>
              <w:t xml:space="preserve"> 倍以下罚款。</w:t>
            </w:r>
          </w:p>
        </w:tc>
      </w:tr>
      <w:tr w14:paraId="73790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1F79A032">
            <w:pPr>
              <w:jc w:val="both"/>
              <w:rPr>
                <w:color w:val="auto"/>
                <w:sz w:val="2"/>
                <w:szCs w:val="2"/>
              </w:rPr>
            </w:pPr>
          </w:p>
        </w:tc>
        <w:tc>
          <w:tcPr>
            <w:tcW w:w="706" w:type="dxa"/>
            <w:vMerge w:val="continue"/>
            <w:tcBorders>
              <w:top w:val="nil"/>
            </w:tcBorders>
            <w:vAlign w:val="top"/>
          </w:tcPr>
          <w:p w14:paraId="6C4A6F21">
            <w:pPr>
              <w:jc w:val="both"/>
              <w:rPr>
                <w:color w:val="auto"/>
                <w:sz w:val="2"/>
                <w:szCs w:val="2"/>
              </w:rPr>
            </w:pPr>
          </w:p>
        </w:tc>
        <w:tc>
          <w:tcPr>
            <w:tcW w:w="478" w:type="dxa"/>
            <w:vAlign w:val="top"/>
          </w:tcPr>
          <w:p w14:paraId="5768809C">
            <w:pPr>
              <w:pStyle w:val="8"/>
              <w:spacing w:before="2"/>
              <w:jc w:val="both"/>
              <w:rPr>
                <w:rFonts w:ascii="Times New Roman"/>
                <w:color w:val="auto"/>
                <w:sz w:val="22"/>
              </w:rPr>
            </w:pPr>
          </w:p>
          <w:p w14:paraId="12887AEE">
            <w:pPr>
              <w:pStyle w:val="8"/>
              <w:spacing w:line="242" w:lineRule="auto"/>
              <w:ind w:left="131" w:right="123"/>
              <w:jc w:val="both"/>
              <w:rPr>
                <w:b/>
                <w:color w:val="auto"/>
                <w:sz w:val="21"/>
              </w:rPr>
            </w:pPr>
            <w:r>
              <w:rPr>
                <w:b/>
                <w:color w:val="auto"/>
                <w:sz w:val="21"/>
              </w:rPr>
              <w:t>情节严重的</w:t>
            </w:r>
          </w:p>
        </w:tc>
        <w:tc>
          <w:tcPr>
            <w:tcW w:w="2715" w:type="dxa"/>
            <w:vAlign w:val="top"/>
          </w:tcPr>
          <w:p w14:paraId="33AF3E1F">
            <w:pPr>
              <w:pStyle w:val="8"/>
              <w:jc w:val="both"/>
              <w:rPr>
                <w:rFonts w:ascii="Times New Roman"/>
                <w:color w:val="auto"/>
                <w:sz w:val="20"/>
              </w:rPr>
            </w:pPr>
          </w:p>
        </w:tc>
        <w:tc>
          <w:tcPr>
            <w:tcW w:w="2714" w:type="dxa"/>
            <w:vAlign w:val="top"/>
          </w:tcPr>
          <w:p w14:paraId="0378FCE3">
            <w:pPr>
              <w:pStyle w:val="8"/>
              <w:jc w:val="both"/>
              <w:rPr>
                <w:rFonts w:ascii="Times New Roman"/>
                <w:color w:val="auto"/>
                <w:sz w:val="20"/>
              </w:rPr>
            </w:pPr>
          </w:p>
          <w:p w14:paraId="4B620629">
            <w:pPr>
              <w:pStyle w:val="8"/>
              <w:spacing w:before="162" w:line="242" w:lineRule="auto"/>
              <w:ind w:left="107" w:right="93"/>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2DFB6299">
            <w:pPr>
              <w:pStyle w:val="8"/>
              <w:spacing w:before="1"/>
              <w:ind w:left="107"/>
              <w:jc w:val="both"/>
              <w:rPr>
                <w:color w:val="auto"/>
                <w:sz w:val="21"/>
              </w:rPr>
            </w:pPr>
            <w:r>
              <w:rPr>
                <w:color w:val="auto"/>
                <w:sz w:val="21"/>
              </w:rPr>
              <w:t>0.3</w:t>
            </w:r>
            <w:r>
              <w:rPr>
                <w:color w:val="auto"/>
                <w:spacing w:val="-13"/>
                <w:sz w:val="21"/>
              </w:rPr>
              <w:t xml:space="preserve"> 倍以上</w:t>
            </w:r>
            <w:r>
              <w:rPr>
                <w:color w:val="auto"/>
                <w:sz w:val="21"/>
              </w:rPr>
              <w:t>1.1</w:t>
            </w:r>
            <w:r>
              <w:rPr>
                <w:rFonts w:hint="eastAsia"/>
                <w:color w:val="auto"/>
                <w:sz w:val="21"/>
                <w:lang w:val="en-US" w:eastAsia="zh-CN"/>
              </w:rPr>
              <w:t>1</w:t>
            </w:r>
            <w:r>
              <w:rPr>
                <w:color w:val="auto"/>
                <w:spacing w:val="-16"/>
                <w:sz w:val="21"/>
              </w:rPr>
              <w:t xml:space="preserve"> 倍以下罚款。</w:t>
            </w:r>
          </w:p>
        </w:tc>
        <w:tc>
          <w:tcPr>
            <w:tcW w:w="2717" w:type="dxa"/>
            <w:vAlign w:val="top"/>
          </w:tcPr>
          <w:p w14:paraId="77A53F02">
            <w:pPr>
              <w:pStyle w:val="8"/>
              <w:jc w:val="both"/>
              <w:rPr>
                <w:rFonts w:ascii="Times New Roman"/>
                <w:color w:val="auto"/>
                <w:sz w:val="20"/>
              </w:rPr>
            </w:pPr>
          </w:p>
          <w:p w14:paraId="4E8C81EC">
            <w:pPr>
              <w:pStyle w:val="8"/>
              <w:spacing w:before="162" w:line="242" w:lineRule="auto"/>
              <w:ind w:left="107" w:right="96"/>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59A008F0">
            <w:pPr>
              <w:pStyle w:val="8"/>
              <w:spacing w:before="1"/>
              <w:ind w:left="107"/>
              <w:jc w:val="both"/>
              <w:rPr>
                <w:color w:val="auto"/>
                <w:sz w:val="21"/>
              </w:rPr>
            </w:pPr>
            <w:r>
              <w:rPr>
                <w:color w:val="auto"/>
                <w:sz w:val="21"/>
              </w:rPr>
              <w:t>1.1</w:t>
            </w:r>
            <w:r>
              <w:rPr>
                <w:rFonts w:hint="eastAsia"/>
                <w:color w:val="auto"/>
                <w:sz w:val="21"/>
                <w:lang w:val="en-US" w:eastAsia="zh-CN"/>
              </w:rPr>
              <w:t>1</w:t>
            </w:r>
            <w:r>
              <w:rPr>
                <w:color w:val="auto"/>
                <w:spacing w:val="-13"/>
                <w:sz w:val="21"/>
              </w:rPr>
              <w:t xml:space="preserve"> 倍以上</w:t>
            </w:r>
            <w:r>
              <w:rPr>
                <w:color w:val="auto"/>
                <w:sz w:val="21"/>
              </w:rPr>
              <w:t>2.</w:t>
            </w:r>
            <w:r>
              <w:rPr>
                <w:rFonts w:hint="eastAsia"/>
                <w:color w:val="auto"/>
                <w:sz w:val="21"/>
                <w:lang w:val="en-US" w:eastAsia="zh-CN"/>
              </w:rPr>
              <w:t>19</w:t>
            </w:r>
            <w:r>
              <w:rPr>
                <w:color w:val="auto"/>
                <w:spacing w:val="-16"/>
                <w:sz w:val="21"/>
              </w:rPr>
              <w:t xml:space="preserve"> 倍以下罚款。</w:t>
            </w:r>
          </w:p>
        </w:tc>
        <w:tc>
          <w:tcPr>
            <w:tcW w:w="3900" w:type="dxa"/>
            <w:vAlign w:val="top"/>
          </w:tcPr>
          <w:p w14:paraId="4AB37658">
            <w:pPr>
              <w:pStyle w:val="8"/>
              <w:jc w:val="both"/>
              <w:rPr>
                <w:rFonts w:ascii="Times New Roman"/>
                <w:color w:val="auto"/>
                <w:sz w:val="20"/>
              </w:rPr>
            </w:pPr>
          </w:p>
          <w:p w14:paraId="7EE96AC7">
            <w:pPr>
              <w:pStyle w:val="8"/>
              <w:spacing w:before="9"/>
              <w:jc w:val="both"/>
              <w:rPr>
                <w:rFonts w:ascii="Times New Roman"/>
                <w:color w:val="auto"/>
                <w:sz w:val="25"/>
              </w:rPr>
            </w:pPr>
          </w:p>
          <w:p w14:paraId="16A9FE1E">
            <w:pPr>
              <w:pStyle w:val="8"/>
              <w:spacing w:line="244" w:lineRule="auto"/>
              <w:ind w:left="105" w:right="93"/>
              <w:jc w:val="both"/>
              <w:rPr>
                <w:color w:val="auto"/>
                <w:sz w:val="21"/>
              </w:rPr>
            </w:pPr>
            <w:r>
              <w:rPr>
                <w:color w:val="auto"/>
                <w:spacing w:val="-13"/>
                <w:sz w:val="21"/>
              </w:rPr>
              <w:t>对法定代表人、主要负责人、直接负责的</w:t>
            </w:r>
            <w:r>
              <w:rPr>
                <w:color w:val="auto"/>
                <w:spacing w:val="17"/>
                <w:sz w:val="21"/>
              </w:rPr>
              <w:t>主管人员和其他责任人员处所获收入</w:t>
            </w:r>
          </w:p>
          <w:p w14:paraId="2445ECF4">
            <w:pPr>
              <w:pStyle w:val="8"/>
              <w:spacing w:line="265" w:lineRule="exact"/>
              <w:ind w:left="105"/>
              <w:jc w:val="both"/>
              <w:rPr>
                <w:color w:val="auto"/>
                <w:sz w:val="21"/>
              </w:rPr>
            </w:pPr>
            <w:r>
              <w:rPr>
                <w:color w:val="auto"/>
                <w:sz w:val="21"/>
              </w:rPr>
              <w:t>2.</w:t>
            </w:r>
            <w:r>
              <w:rPr>
                <w:rFonts w:hint="eastAsia"/>
                <w:color w:val="auto"/>
                <w:sz w:val="21"/>
                <w:lang w:val="en-US" w:eastAsia="zh-CN"/>
              </w:rPr>
              <w:t>19</w:t>
            </w:r>
            <w:r>
              <w:rPr>
                <w:color w:val="auto"/>
                <w:sz w:val="21"/>
              </w:rPr>
              <w:t xml:space="preserve"> 倍以上 3 倍以下罚款。</w:t>
            </w:r>
          </w:p>
        </w:tc>
      </w:tr>
    </w:tbl>
    <w:p w14:paraId="07965E15">
      <w:pPr>
        <w:spacing w:after="0" w:line="265" w:lineRule="exact"/>
        <w:jc w:val="both"/>
        <w:rPr>
          <w:color w:val="auto"/>
          <w:sz w:val="21"/>
        </w:rPr>
        <w:sectPr>
          <w:pgSz w:w="16840" w:h="11910" w:orient="landscape"/>
          <w:pgMar w:top="1100" w:right="1400" w:bottom="1760" w:left="1400" w:header="0" w:footer="1572" w:gutter="0"/>
          <w:pgNumType w:fmt="numberInDash"/>
          <w:cols w:space="720" w:num="1"/>
        </w:sectPr>
      </w:pPr>
    </w:p>
    <w:p w14:paraId="56D409F4">
      <w:pPr>
        <w:pStyle w:val="4"/>
        <w:jc w:val="both"/>
        <w:rPr>
          <w:rFonts w:ascii="Times New Roman"/>
          <w:color w:val="auto"/>
          <w:sz w:val="20"/>
        </w:rPr>
      </w:pPr>
    </w:p>
    <w:p w14:paraId="15E43F76">
      <w:pPr>
        <w:pStyle w:val="4"/>
        <w:jc w:val="both"/>
        <w:rPr>
          <w:rFonts w:ascii="Times New Roman"/>
          <w:color w:val="auto"/>
          <w:sz w:val="20"/>
        </w:rPr>
      </w:pPr>
    </w:p>
    <w:p w14:paraId="1FB45976">
      <w:pPr>
        <w:pStyle w:val="4"/>
        <w:jc w:val="both"/>
        <w:rPr>
          <w:rFonts w:ascii="Times New Roman"/>
          <w:color w:val="auto"/>
          <w:sz w:val="20"/>
        </w:rPr>
      </w:pPr>
    </w:p>
    <w:p w14:paraId="6FD45851">
      <w:pPr>
        <w:pStyle w:val="4"/>
        <w:spacing w:before="2"/>
        <w:jc w:val="both"/>
        <w:rPr>
          <w:rFonts w:ascii="Times New Roman"/>
          <w:color w:val="auto"/>
          <w:sz w:val="26"/>
        </w:rPr>
      </w:pPr>
    </w:p>
    <w:tbl>
      <w:tblPr>
        <w:tblStyle w:val="6"/>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179"/>
        <w:gridCol w:w="2715"/>
        <w:gridCol w:w="2714"/>
        <w:gridCol w:w="2717"/>
        <w:gridCol w:w="3900"/>
      </w:tblGrid>
      <w:tr w14:paraId="52248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7" w:type="dxa"/>
            <w:vMerge w:val="restart"/>
            <w:vAlign w:val="top"/>
          </w:tcPr>
          <w:p w14:paraId="0C1B9BFA">
            <w:pPr>
              <w:pStyle w:val="8"/>
              <w:jc w:val="both"/>
              <w:rPr>
                <w:rFonts w:ascii="Times New Roman"/>
                <w:color w:val="auto"/>
                <w:sz w:val="20"/>
              </w:rPr>
            </w:pPr>
          </w:p>
          <w:p w14:paraId="34E57D17">
            <w:pPr>
              <w:pStyle w:val="8"/>
              <w:jc w:val="both"/>
              <w:rPr>
                <w:rFonts w:ascii="Times New Roman"/>
                <w:color w:val="auto"/>
                <w:sz w:val="20"/>
              </w:rPr>
            </w:pPr>
          </w:p>
          <w:p w14:paraId="49D05E92">
            <w:pPr>
              <w:pStyle w:val="8"/>
              <w:jc w:val="both"/>
              <w:rPr>
                <w:rFonts w:ascii="Times New Roman"/>
                <w:color w:val="auto"/>
                <w:sz w:val="20"/>
              </w:rPr>
            </w:pPr>
          </w:p>
          <w:p w14:paraId="0825CF6F">
            <w:pPr>
              <w:pStyle w:val="8"/>
              <w:jc w:val="both"/>
              <w:rPr>
                <w:rFonts w:ascii="Times New Roman"/>
                <w:color w:val="auto"/>
                <w:sz w:val="20"/>
              </w:rPr>
            </w:pPr>
          </w:p>
          <w:p w14:paraId="0D6868C3">
            <w:pPr>
              <w:pStyle w:val="8"/>
              <w:jc w:val="both"/>
              <w:rPr>
                <w:rFonts w:ascii="Times New Roman"/>
                <w:color w:val="auto"/>
                <w:sz w:val="20"/>
              </w:rPr>
            </w:pPr>
          </w:p>
          <w:p w14:paraId="2461B4F9">
            <w:pPr>
              <w:pStyle w:val="8"/>
              <w:jc w:val="both"/>
              <w:rPr>
                <w:rFonts w:ascii="Times New Roman"/>
                <w:color w:val="auto"/>
                <w:sz w:val="20"/>
              </w:rPr>
            </w:pPr>
          </w:p>
          <w:p w14:paraId="5A796CEE">
            <w:pPr>
              <w:pStyle w:val="8"/>
              <w:jc w:val="both"/>
              <w:rPr>
                <w:rFonts w:ascii="Times New Roman"/>
                <w:color w:val="auto"/>
                <w:sz w:val="20"/>
              </w:rPr>
            </w:pPr>
          </w:p>
          <w:p w14:paraId="74C0EE44">
            <w:pPr>
              <w:pStyle w:val="8"/>
              <w:jc w:val="both"/>
              <w:rPr>
                <w:rFonts w:ascii="Times New Roman"/>
                <w:color w:val="auto"/>
                <w:sz w:val="20"/>
              </w:rPr>
            </w:pPr>
          </w:p>
          <w:p w14:paraId="1B00AFBC">
            <w:pPr>
              <w:pStyle w:val="8"/>
              <w:jc w:val="both"/>
              <w:rPr>
                <w:rFonts w:ascii="Times New Roman"/>
                <w:color w:val="auto"/>
                <w:sz w:val="20"/>
              </w:rPr>
            </w:pPr>
          </w:p>
          <w:p w14:paraId="7732BC9A">
            <w:pPr>
              <w:pStyle w:val="8"/>
              <w:jc w:val="both"/>
              <w:rPr>
                <w:rFonts w:ascii="Times New Roman"/>
                <w:color w:val="auto"/>
                <w:sz w:val="20"/>
              </w:rPr>
            </w:pPr>
          </w:p>
          <w:p w14:paraId="6D5BD349">
            <w:pPr>
              <w:pStyle w:val="8"/>
              <w:jc w:val="both"/>
              <w:rPr>
                <w:rFonts w:ascii="Times New Roman"/>
                <w:color w:val="auto"/>
                <w:sz w:val="20"/>
              </w:rPr>
            </w:pPr>
          </w:p>
          <w:p w14:paraId="190801E3">
            <w:pPr>
              <w:pStyle w:val="8"/>
              <w:jc w:val="both"/>
              <w:rPr>
                <w:rFonts w:ascii="Times New Roman"/>
                <w:color w:val="auto"/>
                <w:sz w:val="20"/>
              </w:rPr>
            </w:pPr>
          </w:p>
          <w:p w14:paraId="6944F862">
            <w:pPr>
              <w:pStyle w:val="8"/>
              <w:jc w:val="both"/>
              <w:rPr>
                <w:rFonts w:ascii="Times New Roman"/>
                <w:color w:val="auto"/>
                <w:sz w:val="20"/>
              </w:rPr>
            </w:pPr>
          </w:p>
          <w:p w14:paraId="2C1E7F4D">
            <w:pPr>
              <w:pStyle w:val="8"/>
              <w:jc w:val="both"/>
              <w:rPr>
                <w:rFonts w:ascii="Times New Roman"/>
                <w:color w:val="auto"/>
                <w:sz w:val="20"/>
              </w:rPr>
            </w:pPr>
          </w:p>
          <w:p w14:paraId="5A018133">
            <w:pPr>
              <w:pStyle w:val="8"/>
              <w:jc w:val="both"/>
              <w:rPr>
                <w:rFonts w:ascii="Times New Roman"/>
                <w:color w:val="auto"/>
                <w:sz w:val="20"/>
              </w:rPr>
            </w:pPr>
          </w:p>
          <w:p w14:paraId="3A683822">
            <w:pPr>
              <w:pStyle w:val="8"/>
              <w:spacing w:before="142"/>
              <w:ind w:left="4"/>
              <w:jc w:val="center"/>
              <w:rPr>
                <w:b/>
                <w:color w:val="auto"/>
                <w:sz w:val="21"/>
              </w:rPr>
            </w:pPr>
            <w:r>
              <w:rPr>
                <w:b/>
                <w:color w:val="auto"/>
                <w:w w:val="99"/>
                <w:sz w:val="21"/>
              </w:rPr>
              <w:t>3</w:t>
            </w:r>
          </w:p>
        </w:tc>
        <w:tc>
          <w:tcPr>
            <w:tcW w:w="1179" w:type="dxa"/>
            <w:vAlign w:val="top"/>
          </w:tcPr>
          <w:p w14:paraId="3008D6BF">
            <w:pPr>
              <w:pStyle w:val="8"/>
              <w:spacing w:before="3"/>
              <w:jc w:val="both"/>
              <w:rPr>
                <w:rFonts w:ascii="Times New Roman"/>
                <w:color w:val="auto"/>
                <w:sz w:val="20"/>
              </w:rPr>
            </w:pPr>
          </w:p>
          <w:p w14:paraId="44D395AB">
            <w:pPr>
              <w:pStyle w:val="8"/>
              <w:spacing w:before="1"/>
              <w:ind w:left="145" w:right="139"/>
              <w:jc w:val="both"/>
              <w:rPr>
                <w:b/>
                <w:color w:val="auto"/>
                <w:sz w:val="21"/>
              </w:rPr>
            </w:pPr>
            <w:r>
              <w:rPr>
                <w:b/>
                <w:color w:val="auto"/>
                <w:sz w:val="21"/>
              </w:rPr>
              <w:t>违法行为</w:t>
            </w:r>
          </w:p>
        </w:tc>
        <w:tc>
          <w:tcPr>
            <w:tcW w:w="12046" w:type="dxa"/>
            <w:gridSpan w:val="4"/>
            <w:vAlign w:val="top"/>
          </w:tcPr>
          <w:p w14:paraId="5FD300F4">
            <w:pPr>
              <w:pStyle w:val="8"/>
              <w:spacing w:before="3"/>
              <w:jc w:val="both"/>
              <w:rPr>
                <w:rFonts w:ascii="Times New Roman"/>
                <w:color w:val="auto"/>
                <w:sz w:val="20"/>
              </w:rPr>
            </w:pPr>
          </w:p>
          <w:p w14:paraId="57BC3D11">
            <w:pPr>
              <w:pStyle w:val="8"/>
              <w:spacing w:before="1"/>
              <w:ind w:left="527"/>
              <w:jc w:val="both"/>
              <w:rPr>
                <w:color w:val="auto"/>
                <w:sz w:val="21"/>
              </w:rPr>
            </w:pPr>
            <w:r>
              <w:rPr>
                <w:color w:val="auto"/>
                <w:sz w:val="21"/>
              </w:rPr>
              <w:t>伪造、变造、买卖、出租、出借相关医疗器械许可证件的</w:t>
            </w:r>
          </w:p>
        </w:tc>
      </w:tr>
      <w:tr w14:paraId="26F0C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0" w:hRule="atLeast"/>
        </w:trPr>
        <w:tc>
          <w:tcPr>
            <w:tcW w:w="567" w:type="dxa"/>
            <w:vMerge w:val="continue"/>
            <w:tcBorders>
              <w:top w:val="nil"/>
            </w:tcBorders>
            <w:vAlign w:val="top"/>
          </w:tcPr>
          <w:p w14:paraId="4AC099C6">
            <w:pPr>
              <w:jc w:val="both"/>
              <w:rPr>
                <w:color w:val="auto"/>
                <w:sz w:val="2"/>
                <w:szCs w:val="2"/>
              </w:rPr>
            </w:pPr>
          </w:p>
        </w:tc>
        <w:tc>
          <w:tcPr>
            <w:tcW w:w="1179" w:type="dxa"/>
            <w:vAlign w:val="top"/>
          </w:tcPr>
          <w:p w14:paraId="56F19675">
            <w:pPr>
              <w:pStyle w:val="8"/>
              <w:jc w:val="both"/>
              <w:rPr>
                <w:rFonts w:ascii="Times New Roman"/>
                <w:color w:val="auto"/>
                <w:sz w:val="20"/>
              </w:rPr>
            </w:pPr>
          </w:p>
          <w:p w14:paraId="4B28629F">
            <w:pPr>
              <w:pStyle w:val="8"/>
              <w:jc w:val="both"/>
              <w:rPr>
                <w:rFonts w:ascii="Times New Roman"/>
                <w:color w:val="auto"/>
                <w:sz w:val="20"/>
              </w:rPr>
            </w:pPr>
          </w:p>
          <w:p w14:paraId="231EF85D">
            <w:pPr>
              <w:pStyle w:val="8"/>
              <w:jc w:val="both"/>
              <w:rPr>
                <w:rFonts w:ascii="Times New Roman"/>
                <w:color w:val="auto"/>
                <w:sz w:val="20"/>
              </w:rPr>
            </w:pPr>
          </w:p>
          <w:p w14:paraId="0F6D8EF8">
            <w:pPr>
              <w:pStyle w:val="8"/>
              <w:jc w:val="both"/>
              <w:rPr>
                <w:rFonts w:ascii="Times New Roman"/>
                <w:color w:val="auto"/>
                <w:sz w:val="25"/>
              </w:rPr>
            </w:pPr>
          </w:p>
          <w:p w14:paraId="1E78B4C4">
            <w:pPr>
              <w:pStyle w:val="8"/>
              <w:spacing w:before="1"/>
              <w:ind w:left="145" w:right="139"/>
              <w:jc w:val="both"/>
              <w:rPr>
                <w:b/>
                <w:color w:val="auto"/>
                <w:sz w:val="21"/>
              </w:rPr>
            </w:pPr>
            <w:r>
              <w:rPr>
                <w:b/>
                <w:color w:val="auto"/>
                <w:sz w:val="21"/>
              </w:rPr>
              <w:t>处罚依据</w:t>
            </w:r>
          </w:p>
        </w:tc>
        <w:tc>
          <w:tcPr>
            <w:tcW w:w="12046" w:type="dxa"/>
            <w:gridSpan w:val="4"/>
            <w:vAlign w:val="top"/>
          </w:tcPr>
          <w:p w14:paraId="1BAD28C9">
            <w:pPr>
              <w:pStyle w:val="8"/>
              <w:spacing w:before="5"/>
              <w:jc w:val="both"/>
              <w:rPr>
                <w:rFonts w:ascii="Times New Roman"/>
                <w:color w:val="auto"/>
                <w:sz w:val="21"/>
              </w:rPr>
            </w:pPr>
          </w:p>
          <w:p w14:paraId="0F2166E4">
            <w:pPr>
              <w:pStyle w:val="8"/>
              <w:ind w:left="527"/>
              <w:jc w:val="both"/>
              <w:rPr>
                <w:color w:val="auto"/>
                <w:sz w:val="21"/>
              </w:rPr>
            </w:pPr>
            <w:r>
              <w:rPr>
                <w:color w:val="auto"/>
                <w:sz w:val="21"/>
              </w:rPr>
              <w:t>根据《医疗器械监督管理条例》第八十三条第二款规定，由原发证部门予以收缴或者吊销，没收违法所得；违法所得不足 1</w:t>
            </w:r>
          </w:p>
          <w:p w14:paraId="09FFE321">
            <w:pPr>
              <w:pStyle w:val="8"/>
              <w:spacing w:before="3" w:line="244" w:lineRule="auto"/>
              <w:ind w:left="107" w:right="95"/>
              <w:jc w:val="both"/>
              <w:rPr>
                <w:color w:val="auto"/>
                <w:sz w:val="21"/>
              </w:rPr>
            </w:pPr>
            <w:r>
              <w:rPr>
                <w:color w:val="auto"/>
                <w:spacing w:val="-11"/>
                <w:sz w:val="21"/>
              </w:rPr>
              <w:t xml:space="preserve">万元的，并处 </w:t>
            </w:r>
            <w:r>
              <w:rPr>
                <w:color w:val="auto"/>
                <w:sz w:val="21"/>
              </w:rPr>
              <w:t>5</w:t>
            </w:r>
            <w:r>
              <w:rPr>
                <w:color w:val="auto"/>
                <w:spacing w:val="-19"/>
                <w:sz w:val="21"/>
              </w:rPr>
              <w:t xml:space="preserve"> 万元以上 </w:t>
            </w:r>
            <w:r>
              <w:rPr>
                <w:color w:val="auto"/>
                <w:sz w:val="21"/>
              </w:rPr>
              <w:t>10</w:t>
            </w:r>
            <w:r>
              <w:rPr>
                <w:color w:val="auto"/>
                <w:spacing w:val="-12"/>
                <w:sz w:val="21"/>
              </w:rPr>
              <w:t xml:space="preserve"> 万元以下罚款；违法所得 </w:t>
            </w:r>
            <w:r>
              <w:rPr>
                <w:color w:val="auto"/>
                <w:sz w:val="21"/>
              </w:rPr>
              <w:t>1</w:t>
            </w:r>
            <w:r>
              <w:rPr>
                <w:color w:val="auto"/>
                <w:spacing w:val="-12"/>
                <w:sz w:val="21"/>
              </w:rPr>
              <w:t xml:space="preserve"> 万元以上的，并处违法所得 </w:t>
            </w:r>
            <w:r>
              <w:rPr>
                <w:color w:val="auto"/>
                <w:sz w:val="21"/>
              </w:rPr>
              <w:t>10</w:t>
            </w:r>
            <w:r>
              <w:rPr>
                <w:color w:val="auto"/>
                <w:spacing w:val="-21"/>
                <w:sz w:val="21"/>
              </w:rPr>
              <w:t xml:space="preserve"> 倍以上 </w:t>
            </w:r>
            <w:r>
              <w:rPr>
                <w:color w:val="auto"/>
                <w:sz w:val="21"/>
              </w:rPr>
              <w:t>20</w:t>
            </w:r>
            <w:r>
              <w:rPr>
                <w:color w:val="auto"/>
                <w:spacing w:val="-9"/>
                <w:sz w:val="21"/>
              </w:rPr>
              <w:t xml:space="preserve"> 倍以下罚款；构成违反治安管理</w:t>
            </w:r>
            <w:r>
              <w:rPr>
                <w:color w:val="auto"/>
                <w:spacing w:val="-5"/>
                <w:sz w:val="21"/>
              </w:rPr>
              <w:t>行为的，由公安机关依法予以治安管理处罚。</w:t>
            </w:r>
          </w:p>
        </w:tc>
      </w:tr>
      <w:tr w14:paraId="7CDBD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7" w:type="dxa"/>
            <w:vMerge w:val="continue"/>
            <w:tcBorders>
              <w:top w:val="nil"/>
            </w:tcBorders>
            <w:vAlign w:val="top"/>
          </w:tcPr>
          <w:p w14:paraId="1A7AE28E">
            <w:pPr>
              <w:jc w:val="both"/>
              <w:rPr>
                <w:color w:val="auto"/>
                <w:sz w:val="2"/>
                <w:szCs w:val="2"/>
              </w:rPr>
            </w:pPr>
          </w:p>
        </w:tc>
        <w:tc>
          <w:tcPr>
            <w:tcW w:w="1179" w:type="dxa"/>
            <w:vAlign w:val="top"/>
          </w:tcPr>
          <w:p w14:paraId="190116DB">
            <w:pPr>
              <w:pStyle w:val="8"/>
              <w:spacing w:before="147"/>
              <w:ind w:left="145" w:right="139"/>
              <w:jc w:val="both"/>
              <w:rPr>
                <w:b/>
                <w:color w:val="auto"/>
                <w:sz w:val="21"/>
              </w:rPr>
            </w:pPr>
            <w:r>
              <w:rPr>
                <w:b/>
                <w:color w:val="auto"/>
                <w:sz w:val="21"/>
              </w:rPr>
              <w:t>裁量等级</w:t>
            </w:r>
          </w:p>
        </w:tc>
        <w:tc>
          <w:tcPr>
            <w:tcW w:w="2715" w:type="dxa"/>
            <w:vAlign w:val="top"/>
          </w:tcPr>
          <w:p w14:paraId="6A35E448">
            <w:pPr>
              <w:pStyle w:val="8"/>
              <w:spacing w:before="147"/>
              <w:ind w:left="107"/>
              <w:jc w:val="both"/>
              <w:rPr>
                <w:b/>
                <w:color w:val="auto"/>
                <w:sz w:val="21"/>
              </w:rPr>
            </w:pPr>
            <w:r>
              <w:rPr>
                <w:b/>
                <w:color w:val="auto"/>
                <w:sz w:val="21"/>
              </w:rPr>
              <w:t>减轻</w:t>
            </w:r>
          </w:p>
        </w:tc>
        <w:tc>
          <w:tcPr>
            <w:tcW w:w="2714" w:type="dxa"/>
            <w:vAlign w:val="top"/>
          </w:tcPr>
          <w:p w14:paraId="1190F5DF">
            <w:pPr>
              <w:pStyle w:val="8"/>
              <w:spacing w:before="147"/>
              <w:ind w:left="107"/>
              <w:jc w:val="both"/>
              <w:rPr>
                <w:b/>
                <w:color w:val="auto"/>
                <w:sz w:val="21"/>
              </w:rPr>
            </w:pPr>
            <w:r>
              <w:rPr>
                <w:b/>
                <w:color w:val="auto"/>
                <w:sz w:val="21"/>
              </w:rPr>
              <w:t>从轻</w:t>
            </w:r>
          </w:p>
        </w:tc>
        <w:tc>
          <w:tcPr>
            <w:tcW w:w="2717" w:type="dxa"/>
            <w:vAlign w:val="top"/>
          </w:tcPr>
          <w:p w14:paraId="5E235AB5">
            <w:pPr>
              <w:pStyle w:val="8"/>
              <w:spacing w:before="147"/>
              <w:ind w:left="107"/>
              <w:jc w:val="both"/>
              <w:rPr>
                <w:b/>
                <w:color w:val="auto"/>
                <w:sz w:val="21"/>
              </w:rPr>
            </w:pPr>
            <w:r>
              <w:rPr>
                <w:b/>
                <w:color w:val="auto"/>
                <w:sz w:val="21"/>
              </w:rPr>
              <w:t>一般</w:t>
            </w:r>
          </w:p>
        </w:tc>
        <w:tc>
          <w:tcPr>
            <w:tcW w:w="3900" w:type="dxa"/>
            <w:vAlign w:val="top"/>
          </w:tcPr>
          <w:p w14:paraId="14E86811">
            <w:pPr>
              <w:pStyle w:val="8"/>
              <w:spacing w:before="147"/>
              <w:ind w:left="105"/>
              <w:jc w:val="both"/>
              <w:rPr>
                <w:b/>
                <w:color w:val="auto"/>
                <w:sz w:val="21"/>
              </w:rPr>
            </w:pPr>
            <w:r>
              <w:rPr>
                <w:b/>
                <w:color w:val="auto"/>
                <w:sz w:val="21"/>
              </w:rPr>
              <w:t>从重</w:t>
            </w:r>
          </w:p>
        </w:tc>
      </w:tr>
      <w:tr w14:paraId="444CB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7" w:type="dxa"/>
            <w:vMerge w:val="continue"/>
            <w:tcBorders>
              <w:top w:val="nil"/>
            </w:tcBorders>
            <w:vAlign w:val="top"/>
          </w:tcPr>
          <w:p w14:paraId="6F2AEE94">
            <w:pPr>
              <w:jc w:val="both"/>
              <w:rPr>
                <w:color w:val="auto"/>
                <w:sz w:val="2"/>
                <w:szCs w:val="2"/>
              </w:rPr>
            </w:pPr>
          </w:p>
        </w:tc>
        <w:tc>
          <w:tcPr>
            <w:tcW w:w="1179" w:type="dxa"/>
            <w:vAlign w:val="top"/>
          </w:tcPr>
          <w:p w14:paraId="3295F922">
            <w:pPr>
              <w:pStyle w:val="8"/>
              <w:spacing w:before="3"/>
              <w:jc w:val="both"/>
              <w:rPr>
                <w:rFonts w:ascii="Times New Roman"/>
                <w:color w:val="auto"/>
                <w:sz w:val="20"/>
              </w:rPr>
            </w:pPr>
          </w:p>
          <w:p w14:paraId="2BACB9C1">
            <w:pPr>
              <w:pStyle w:val="8"/>
              <w:spacing w:before="1"/>
              <w:ind w:left="145" w:right="139"/>
              <w:jc w:val="both"/>
              <w:rPr>
                <w:b/>
                <w:color w:val="auto"/>
                <w:sz w:val="21"/>
              </w:rPr>
            </w:pPr>
            <w:r>
              <w:rPr>
                <w:b/>
                <w:color w:val="auto"/>
                <w:sz w:val="21"/>
              </w:rPr>
              <w:t>裁量情节</w:t>
            </w:r>
          </w:p>
        </w:tc>
        <w:tc>
          <w:tcPr>
            <w:tcW w:w="2715" w:type="dxa"/>
            <w:vAlign w:val="top"/>
          </w:tcPr>
          <w:p w14:paraId="3F4489E1">
            <w:pPr>
              <w:pStyle w:val="8"/>
              <w:spacing w:before="97" w:line="244" w:lineRule="auto"/>
              <w:ind w:left="107" w:right="98"/>
              <w:jc w:val="both"/>
              <w:rPr>
                <w:color w:val="auto"/>
                <w:sz w:val="21"/>
              </w:rPr>
            </w:pPr>
            <w:r>
              <w:rPr>
                <w:color w:val="auto"/>
                <w:sz w:val="21"/>
              </w:rPr>
              <w:t>符合裁量规定减轻行政处罚情形的。</w:t>
            </w:r>
            <w:r>
              <w:rPr>
                <w:rFonts w:hint="eastAsia"/>
                <w:color w:val="auto"/>
                <w:sz w:val="21"/>
                <w:lang w:eastAsia="zh-CN"/>
              </w:rPr>
              <w:t>伪造、变造的不适用。</w:t>
            </w:r>
          </w:p>
        </w:tc>
        <w:tc>
          <w:tcPr>
            <w:tcW w:w="2714" w:type="dxa"/>
            <w:vAlign w:val="top"/>
          </w:tcPr>
          <w:p w14:paraId="5B710AF6">
            <w:pPr>
              <w:pStyle w:val="8"/>
              <w:spacing w:before="97" w:line="244" w:lineRule="auto"/>
              <w:ind w:left="107" w:right="95"/>
              <w:jc w:val="both"/>
              <w:rPr>
                <w:color w:val="auto"/>
                <w:sz w:val="21"/>
              </w:rPr>
            </w:pPr>
            <w:r>
              <w:rPr>
                <w:color w:val="auto"/>
                <w:sz w:val="21"/>
              </w:rPr>
              <w:t>符合裁量规定从轻行政处罚情形的。</w:t>
            </w:r>
          </w:p>
        </w:tc>
        <w:tc>
          <w:tcPr>
            <w:tcW w:w="2717" w:type="dxa"/>
            <w:vAlign w:val="top"/>
          </w:tcPr>
          <w:p w14:paraId="17CE33AF">
            <w:pPr>
              <w:pStyle w:val="8"/>
              <w:spacing w:before="97" w:line="244" w:lineRule="auto"/>
              <w:ind w:left="107" w:right="98"/>
              <w:jc w:val="both"/>
              <w:rPr>
                <w:color w:val="auto"/>
                <w:sz w:val="21"/>
              </w:rPr>
            </w:pPr>
            <w:r>
              <w:rPr>
                <w:color w:val="auto"/>
                <w:sz w:val="21"/>
              </w:rPr>
              <w:t>符合裁量规定一般行政处罚情形的。</w:t>
            </w:r>
          </w:p>
        </w:tc>
        <w:tc>
          <w:tcPr>
            <w:tcW w:w="3900" w:type="dxa"/>
            <w:vAlign w:val="top"/>
          </w:tcPr>
          <w:p w14:paraId="5303DE3B">
            <w:pPr>
              <w:pStyle w:val="8"/>
              <w:spacing w:before="3"/>
              <w:jc w:val="both"/>
              <w:rPr>
                <w:rFonts w:ascii="Times New Roman"/>
                <w:color w:val="auto"/>
                <w:sz w:val="20"/>
              </w:rPr>
            </w:pPr>
          </w:p>
          <w:p w14:paraId="779989D4">
            <w:pPr>
              <w:pStyle w:val="8"/>
              <w:spacing w:before="1"/>
              <w:ind w:left="105"/>
              <w:jc w:val="both"/>
              <w:rPr>
                <w:color w:val="auto"/>
                <w:sz w:val="21"/>
              </w:rPr>
            </w:pPr>
            <w:r>
              <w:rPr>
                <w:color w:val="auto"/>
                <w:sz w:val="21"/>
              </w:rPr>
              <w:t>符合裁量规定从重行政处罚情形的。</w:t>
            </w:r>
          </w:p>
        </w:tc>
      </w:tr>
      <w:tr w14:paraId="1BEF1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9" w:hRule="atLeast"/>
        </w:trPr>
        <w:tc>
          <w:tcPr>
            <w:tcW w:w="567" w:type="dxa"/>
            <w:vMerge w:val="continue"/>
            <w:tcBorders>
              <w:top w:val="nil"/>
            </w:tcBorders>
            <w:vAlign w:val="top"/>
          </w:tcPr>
          <w:p w14:paraId="2584F525">
            <w:pPr>
              <w:jc w:val="both"/>
              <w:rPr>
                <w:color w:val="auto"/>
                <w:sz w:val="2"/>
                <w:szCs w:val="2"/>
              </w:rPr>
            </w:pPr>
          </w:p>
        </w:tc>
        <w:tc>
          <w:tcPr>
            <w:tcW w:w="1179" w:type="dxa"/>
            <w:vAlign w:val="top"/>
          </w:tcPr>
          <w:p w14:paraId="316FFA08">
            <w:pPr>
              <w:pStyle w:val="8"/>
              <w:jc w:val="both"/>
              <w:rPr>
                <w:rFonts w:ascii="Times New Roman"/>
                <w:color w:val="auto"/>
                <w:sz w:val="20"/>
              </w:rPr>
            </w:pPr>
          </w:p>
          <w:p w14:paraId="2F8A9C1D">
            <w:pPr>
              <w:pStyle w:val="8"/>
              <w:jc w:val="both"/>
              <w:rPr>
                <w:rFonts w:ascii="Times New Roman"/>
                <w:color w:val="auto"/>
                <w:sz w:val="20"/>
              </w:rPr>
            </w:pPr>
          </w:p>
          <w:p w14:paraId="665B4EBC">
            <w:pPr>
              <w:pStyle w:val="8"/>
              <w:jc w:val="both"/>
              <w:rPr>
                <w:rFonts w:ascii="Times New Roman"/>
                <w:color w:val="auto"/>
                <w:sz w:val="20"/>
              </w:rPr>
            </w:pPr>
          </w:p>
          <w:p w14:paraId="693DFEE8">
            <w:pPr>
              <w:pStyle w:val="8"/>
              <w:jc w:val="both"/>
              <w:rPr>
                <w:rFonts w:ascii="Times New Roman"/>
                <w:color w:val="auto"/>
                <w:sz w:val="20"/>
              </w:rPr>
            </w:pPr>
          </w:p>
          <w:p w14:paraId="4BDB6B89">
            <w:pPr>
              <w:pStyle w:val="8"/>
              <w:jc w:val="both"/>
              <w:rPr>
                <w:rFonts w:ascii="Times New Roman"/>
                <w:color w:val="auto"/>
                <w:sz w:val="20"/>
              </w:rPr>
            </w:pPr>
          </w:p>
          <w:p w14:paraId="6C34F25A">
            <w:pPr>
              <w:pStyle w:val="8"/>
              <w:spacing w:before="1"/>
              <w:jc w:val="both"/>
              <w:rPr>
                <w:rFonts w:ascii="Times New Roman"/>
                <w:color w:val="auto"/>
                <w:sz w:val="25"/>
              </w:rPr>
            </w:pPr>
          </w:p>
          <w:p w14:paraId="5BEBA450">
            <w:pPr>
              <w:pStyle w:val="8"/>
              <w:ind w:left="145" w:right="139"/>
              <w:jc w:val="both"/>
              <w:rPr>
                <w:b/>
                <w:color w:val="auto"/>
                <w:sz w:val="21"/>
              </w:rPr>
            </w:pPr>
            <w:r>
              <w:rPr>
                <w:b/>
                <w:color w:val="auto"/>
                <w:sz w:val="21"/>
              </w:rPr>
              <w:t>裁量基准</w:t>
            </w:r>
          </w:p>
        </w:tc>
        <w:tc>
          <w:tcPr>
            <w:tcW w:w="2715" w:type="dxa"/>
            <w:vAlign w:val="top"/>
          </w:tcPr>
          <w:p w14:paraId="1A71FA2D">
            <w:pPr>
              <w:pStyle w:val="8"/>
              <w:jc w:val="both"/>
              <w:rPr>
                <w:rFonts w:ascii="Times New Roman"/>
                <w:color w:val="auto"/>
                <w:sz w:val="20"/>
              </w:rPr>
            </w:pPr>
          </w:p>
          <w:p w14:paraId="27F0F9AA">
            <w:pPr>
              <w:pStyle w:val="8"/>
              <w:jc w:val="both"/>
              <w:rPr>
                <w:rFonts w:ascii="Times New Roman"/>
                <w:color w:val="auto"/>
                <w:sz w:val="20"/>
              </w:rPr>
            </w:pPr>
          </w:p>
          <w:p w14:paraId="7F9D1DD9">
            <w:pPr>
              <w:pStyle w:val="8"/>
              <w:jc w:val="both"/>
              <w:rPr>
                <w:rFonts w:ascii="Times New Roman"/>
                <w:color w:val="auto"/>
                <w:sz w:val="20"/>
              </w:rPr>
            </w:pPr>
          </w:p>
          <w:p w14:paraId="0B7F1DA2">
            <w:pPr>
              <w:pStyle w:val="8"/>
              <w:spacing w:before="8"/>
              <w:jc w:val="both"/>
              <w:rPr>
                <w:rFonts w:ascii="Times New Roman"/>
                <w:color w:val="auto"/>
                <w:sz w:val="17"/>
              </w:rPr>
            </w:pPr>
          </w:p>
          <w:p w14:paraId="10C025CC">
            <w:pPr>
              <w:pStyle w:val="8"/>
              <w:ind w:left="107"/>
              <w:jc w:val="both"/>
              <w:rPr>
                <w:color w:val="auto"/>
                <w:sz w:val="21"/>
              </w:rPr>
            </w:pPr>
            <w:r>
              <w:rPr>
                <w:color w:val="auto"/>
                <w:spacing w:val="-9"/>
                <w:sz w:val="21"/>
              </w:rPr>
              <w:t xml:space="preserve">违法所得不足 </w:t>
            </w:r>
            <w:r>
              <w:rPr>
                <w:color w:val="auto"/>
                <w:sz w:val="21"/>
              </w:rPr>
              <w:t>1</w:t>
            </w:r>
            <w:r>
              <w:rPr>
                <w:color w:val="auto"/>
                <w:spacing w:val="-15"/>
                <w:sz w:val="21"/>
              </w:rPr>
              <w:t xml:space="preserve"> 万元的，处</w:t>
            </w:r>
          </w:p>
          <w:p w14:paraId="3740F059">
            <w:pPr>
              <w:pStyle w:val="8"/>
              <w:spacing w:before="5" w:line="242" w:lineRule="auto"/>
              <w:ind w:left="107" w:right="-15"/>
              <w:jc w:val="both"/>
              <w:rPr>
                <w:color w:val="auto"/>
                <w:sz w:val="21"/>
              </w:rPr>
            </w:pPr>
            <w:r>
              <w:rPr>
                <w:color w:val="auto"/>
                <w:sz w:val="21"/>
              </w:rPr>
              <w:t>0.5</w:t>
            </w:r>
            <w:r>
              <w:rPr>
                <w:color w:val="auto"/>
                <w:spacing w:val="-16"/>
                <w:sz w:val="21"/>
              </w:rPr>
              <w:t xml:space="preserve"> 万元以上 </w:t>
            </w:r>
            <w:r>
              <w:rPr>
                <w:color w:val="auto"/>
                <w:sz w:val="21"/>
              </w:rPr>
              <w:t>5</w:t>
            </w:r>
            <w:r>
              <w:rPr>
                <w:color w:val="auto"/>
                <w:spacing w:val="-10"/>
                <w:sz w:val="21"/>
              </w:rPr>
              <w:t xml:space="preserve"> 万元以下罚</w:t>
            </w:r>
            <w:r>
              <w:rPr>
                <w:color w:val="auto"/>
                <w:spacing w:val="-26"/>
                <w:sz w:val="21"/>
              </w:rPr>
              <w:t xml:space="preserve">款；违法所得 </w:t>
            </w:r>
            <w:r>
              <w:rPr>
                <w:color w:val="auto"/>
                <w:sz w:val="21"/>
              </w:rPr>
              <w:t>1</w:t>
            </w:r>
            <w:r>
              <w:rPr>
                <w:color w:val="auto"/>
                <w:spacing w:val="-12"/>
                <w:sz w:val="21"/>
              </w:rPr>
              <w:t xml:space="preserve"> 万元以上的， 处违法所得 </w:t>
            </w:r>
            <w:r>
              <w:rPr>
                <w:color w:val="auto"/>
                <w:sz w:val="21"/>
              </w:rPr>
              <w:t>1</w:t>
            </w:r>
            <w:r>
              <w:rPr>
                <w:color w:val="auto"/>
                <w:spacing w:val="-13"/>
                <w:sz w:val="21"/>
              </w:rPr>
              <w:t xml:space="preserve"> 倍以上 </w:t>
            </w:r>
            <w:r>
              <w:rPr>
                <w:color w:val="auto"/>
                <w:sz w:val="21"/>
              </w:rPr>
              <w:t>10</w:t>
            </w:r>
            <w:r>
              <w:rPr>
                <w:color w:val="auto"/>
                <w:spacing w:val="-16"/>
                <w:sz w:val="21"/>
              </w:rPr>
              <w:t xml:space="preserve"> 倍</w:t>
            </w:r>
            <w:r>
              <w:rPr>
                <w:color w:val="auto"/>
                <w:spacing w:val="-8"/>
                <w:sz w:val="21"/>
              </w:rPr>
              <w:t>以下罚款。</w:t>
            </w:r>
          </w:p>
        </w:tc>
        <w:tc>
          <w:tcPr>
            <w:tcW w:w="2714" w:type="dxa"/>
            <w:vAlign w:val="top"/>
          </w:tcPr>
          <w:p w14:paraId="50FB035C">
            <w:pPr>
              <w:pStyle w:val="8"/>
              <w:jc w:val="both"/>
              <w:rPr>
                <w:rFonts w:ascii="Times New Roman"/>
                <w:color w:val="auto"/>
                <w:sz w:val="20"/>
              </w:rPr>
            </w:pPr>
          </w:p>
          <w:p w14:paraId="3DD36716">
            <w:pPr>
              <w:pStyle w:val="8"/>
              <w:jc w:val="both"/>
              <w:rPr>
                <w:rFonts w:ascii="Times New Roman"/>
                <w:color w:val="auto"/>
                <w:sz w:val="20"/>
              </w:rPr>
            </w:pPr>
          </w:p>
          <w:p w14:paraId="5F74E70A">
            <w:pPr>
              <w:pStyle w:val="8"/>
              <w:jc w:val="both"/>
              <w:rPr>
                <w:rFonts w:ascii="Times New Roman"/>
                <w:color w:val="auto"/>
                <w:sz w:val="20"/>
              </w:rPr>
            </w:pPr>
          </w:p>
          <w:p w14:paraId="4A2E34FE">
            <w:pPr>
              <w:pStyle w:val="8"/>
              <w:spacing w:before="8"/>
              <w:jc w:val="both"/>
              <w:rPr>
                <w:rFonts w:ascii="Times New Roman"/>
                <w:color w:val="auto"/>
                <w:sz w:val="17"/>
              </w:rPr>
            </w:pPr>
          </w:p>
          <w:p w14:paraId="3E99BD93">
            <w:pPr>
              <w:pStyle w:val="8"/>
              <w:ind w:left="107"/>
              <w:jc w:val="both"/>
              <w:rPr>
                <w:color w:val="auto"/>
                <w:sz w:val="21"/>
              </w:rPr>
            </w:pPr>
            <w:r>
              <w:rPr>
                <w:color w:val="auto"/>
                <w:spacing w:val="-9"/>
                <w:sz w:val="21"/>
              </w:rPr>
              <w:t xml:space="preserve">违法所得不足 </w:t>
            </w:r>
            <w:r>
              <w:rPr>
                <w:color w:val="auto"/>
                <w:sz w:val="21"/>
              </w:rPr>
              <w:t>1</w:t>
            </w:r>
            <w:r>
              <w:rPr>
                <w:color w:val="auto"/>
                <w:spacing w:val="-15"/>
                <w:sz w:val="21"/>
              </w:rPr>
              <w:t xml:space="preserve"> 万元的，处</w:t>
            </w:r>
          </w:p>
          <w:p w14:paraId="2B7A192B">
            <w:pPr>
              <w:pStyle w:val="8"/>
              <w:spacing w:before="5"/>
              <w:ind w:left="107"/>
              <w:jc w:val="both"/>
              <w:rPr>
                <w:color w:val="auto"/>
                <w:sz w:val="21"/>
              </w:rPr>
            </w:pPr>
            <w:r>
              <w:rPr>
                <w:color w:val="auto"/>
                <w:sz w:val="21"/>
              </w:rPr>
              <w:t>5</w:t>
            </w:r>
            <w:r>
              <w:rPr>
                <w:color w:val="auto"/>
                <w:spacing w:val="-15"/>
                <w:sz w:val="21"/>
              </w:rPr>
              <w:t xml:space="preserve"> 万元以上 </w:t>
            </w:r>
            <w:r>
              <w:rPr>
                <w:color w:val="auto"/>
                <w:sz w:val="21"/>
              </w:rPr>
              <w:t>6.5</w:t>
            </w:r>
            <w:r>
              <w:rPr>
                <w:color w:val="auto"/>
                <w:spacing w:val="-10"/>
                <w:sz w:val="21"/>
              </w:rPr>
              <w:t xml:space="preserve"> 万元以下罚</w:t>
            </w:r>
          </w:p>
          <w:p w14:paraId="3DD3EF4E">
            <w:pPr>
              <w:pStyle w:val="8"/>
              <w:spacing w:before="2"/>
              <w:ind w:left="107" w:right="-15"/>
              <w:jc w:val="both"/>
              <w:rPr>
                <w:color w:val="auto"/>
                <w:sz w:val="21"/>
              </w:rPr>
            </w:pPr>
            <w:r>
              <w:rPr>
                <w:color w:val="auto"/>
                <w:spacing w:val="-26"/>
                <w:sz w:val="21"/>
              </w:rPr>
              <w:t xml:space="preserve">款；违法所得 </w:t>
            </w:r>
            <w:r>
              <w:rPr>
                <w:color w:val="auto"/>
                <w:sz w:val="21"/>
              </w:rPr>
              <w:t>1</w:t>
            </w:r>
            <w:r>
              <w:rPr>
                <w:color w:val="auto"/>
                <w:spacing w:val="-11"/>
                <w:sz w:val="21"/>
              </w:rPr>
              <w:t xml:space="preserve"> 万元以上的，</w:t>
            </w:r>
          </w:p>
          <w:p w14:paraId="771064A5">
            <w:pPr>
              <w:pStyle w:val="8"/>
              <w:spacing w:before="5" w:line="242" w:lineRule="auto"/>
              <w:ind w:left="107" w:right="94"/>
              <w:jc w:val="both"/>
              <w:rPr>
                <w:color w:val="auto"/>
                <w:sz w:val="21"/>
              </w:rPr>
            </w:pPr>
            <w:r>
              <w:rPr>
                <w:color w:val="auto"/>
                <w:spacing w:val="-11"/>
                <w:sz w:val="21"/>
              </w:rPr>
              <w:t xml:space="preserve">处违法所得 </w:t>
            </w:r>
            <w:r>
              <w:rPr>
                <w:color w:val="auto"/>
                <w:sz w:val="21"/>
              </w:rPr>
              <w:t>10</w:t>
            </w:r>
            <w:r>
              <w:rPr>
                <w:color w:val="auto"/>
                <w:spacing w:val="-24"/>
                <w:sz w:val="21"/>
              </w:rPr>
              <w:t xml:space="preserve"> 倍以上 </w:t>
            </w:r>
            <w:r>
              <w:rPr>
                <w:color w:val="auto"/>
                <w:sz w:val="21"/>
              </w:rPr>
              <w:t>13</w:t>
            </w:r>
            <w:r>
              <w:rPr>
                <w:color w:val="auto"/>
                <w:spacing w:val="-36"/>
                <w:sz w:val="21"/>
              </w:rPr>
              <w:t xml:space="preserve"> 倍</w:t>
            </w:r>
            <w:r>
              <w:rPr>
                <w:color w:val="auto"/>
                <w:spacing w:val="-1"/>
                <w:sz w:val="21"/>
              </w:rPr>
              <w:t>以下罚款。</w:t>
            </w:r>
          </w:p>
        </w:tc>
        <w:tc>
          <w:tcPr>
            <w:tcW w:w="2717" w:type="dxa"/>
            <w:vAlign w:val="top"/>
          </w:tcPr>
          <w:p w14:paraId="53924D1F">
            <w:pPr>
              <w:pStyle w:val="8"/>
              <w:jc w:val="both"/>
              <w:rPr>
                <w:rFonts w:ascii="Times New Roman"/>
                <w:color w:val="auto"/>
                <w:sz w:val="20"/>
              </w:rPr>
            </w:pPr>
          </w:p>
          <w:p w14:paraId="62D26199">
            <w:pPr>
              <w:pStyle w:val="8"/>
              <w:jc w:val="both"/>
              <w:rPr>
                <w:rFonts w:ascii="Times New Roman"/>
                <w:color w:val="auto"/>
                <w:sz w:val="20"/>
              </w:rPr>
            </w:pPr>
          </w:p>
          <w:p w14:paraId="27885DD0">
            <w:pPr>
              <w:pStyle w:val="8"/>
              <w:jc w:val="both"/>
              <w:rPr>
                <w:rFonts w:ascii="Times New Roman"/>
                <w:color w:val="auto"/>
                <w:sz w:val="20"/>
              </w:rPr>
            </w:pPr>
          </w:p>
          <w:p w14:paraId="6A469D2F">
            <w:pPr>
              <w:pStyle w:val="8"/>
              <w:spacing w:before="8"/>
              <w:jc w:val="both"/>
              <w:rPr>
                <w:rFonts w:ascii="Times New Roman"/>
                <w:color w:val="auto"/>
                <w:sz w:val="17"/>
              </w:rPr>
            </w:pPr>
          </w:p>
          <w:p w14:paraId="572CBF05">
            <w:pPr>
              <w:pStyle w:val="8"/>
              <w:ind w:left="107"/>
              <w:jc w:val="both"/>
              <w:rPr>
                <w:color w:val="auto"/>
                <w:sz w:val="21"/>
              </w:rPr>
            </w:pPr>
            <w:r>
              <w:rPr>
                <w:color w:val="auto"/>
                <w:spacing w:val="-9"/>
                <w:sz w:val="21"/>
              </w:rPr>
              <w:t xml:space="preserve">违法所得不足 </w:t>
            </w:r>
            <w:r>
              <w:rPr>
                <w:color w:val="auto"/>
                <w:sz w:val="21"/>
              </w:rPr>
              <w:t>1</w:t>
            </w:r>
            <w:r>
              <w:rPr>
                <w:color w:val="auto"/>
                <w:spacing w:val="-15"/>
                <w:sz w:val="21"/>
              </w:rPr>
              <w:t xml:space="preserve"> 万元的，处</w:t>
            </w:r>
          </w:p>
          <w:p w14:paraId="259F70C5">
            <w:pPr>
              <w:pStyle w:val="8"/>
              <w:spacing w:before="5" w:line="242" w:lineRule="auto"/>
              <w:ind w:left="107" w:right="96"/>
              <w:jc w:val="both"/>
              <w:rPr>
                <w:color w:val="auto"/>
                <w:sz w:val="21"/>
              </w:rPr>
            </w:pPr>
            <w:r>
              <w:rPr>
                <w:color w:val="auto"/>
                <w:sz w:val="21"/>
              </w:rPr>
              <w:t>6.5</w:t>
            </w:r>
            <w:r>
              <w:rPr>
                <w:color w:val="auto"/>
                <w:spacing w:val="-15"/>
                <w:sz w:val="21"/>
              </w:rPr>
              <w:t xml:space="preserve"> 万元以上 </w:t>
            </w:r>
            <w:r>
              <w:rPr>
                <w:color w:val="auto"/>
                <w:sz w:val="21"/>
              </w:rPr>
              <w:t>8.5</w:t>
            </w:r>
            <w:r>
              <w:rPr>
                <w:color w:val="auto"/>
                <w:spacing w:val="-13"/>
                <w:sz w:val="21"/>
              </w:rPr>
              <w:t xml:space="preserve"> 万元以下</w:t>
            </w:r>
            <w:r>
              <w:rPr>
                <w:color w:val="auto"/>
                <w:spacing w:val="-12"/>
                <w:sz w:val="21"/>
              </w:rPr>
              <w:t xml:space="preserve">罚款；违法所得 </w:t>
            </w:r>
            <w:r>
              <w:rPr>
                <w:color w:val="auto"/>
                <w:sz w:val="21"/>
              </w:rPr>
              <w:t>1</w:t>
            </w:r>
            <w:r>
              <w:rPr>
                <w:color w:val="auto"/>
                <w:spacing w:val="-14"/>
                <w:sz w:val="21"/>
              </w:rPr>
              <w:t xml:space="preserve"> 万元以上</w:t>
            </w:r>
            <w:r>
              <w:rPr>
                <w:color w:val="auto"/>
                <w:spacing w:val="-3"/>
                <w:sz w:val="21"/>
              </w:rPr>
              <w:t xml:space="preserve">的，处违法所得 </w:t>
            </w:r>
            <w:r>
              <w:rPr>
                <w:color w:val="auto"/>
                <w:sz w:val="21"/>
              </w:rPr>
              <w:t>13</w:t>
            </w:r>
            <w:r>
              <w:rPr>
                <w:color w:val="auto"/>
                <w:spacing w:val="-7"/>
                <w:sz w:val="21"/>
              </w:rPr>
              <w:t xml:space="preserve"> 倍以上</w:t>
            </w:r>
          </w:p>
          <w:p w14:paraId="5E96EC49">
            <w:pPr>
              <w:pStyle w:val="8"/>
              <w:spacing w:before="1"/>
              <w:ind w:left="107"/>
              <w:jc w:val="both"/>
              <w:rPr>
                <w:color w:val="auto"/>
                <w:sz w:val="21"/>
              </w:rPr>
            </w:pPr>
            <w:r>
              <w:rPr>
                <w:color w:val="auto"/>
                <w:sz w:val="21"/>
              </w:rPr>
              <w:t>17 倍以下罚款。</w:t>
            </w:r>
          </w:p>
        </w:tc>
        <w:tc>
          <w:tcPr>
            <w:tcW w:w="3900" w:type="dxa"/>
            <w:vAlign w:val="top"/>
          </w:tcPr>
          <w:p w14:paraId="48B6D5BD">
            <w:pPr>
              <w:pStyle w:val="8"/>
              <w:jc w:val="both"/>
              <w:rPr>
                <w:rFonts w:ascii="Times New Roman"/>
                <w:color w:val="auto"/>
                <w:sz w:val="20"/>
              </w:rPr>
            </w:pPr>
          </w:p>
          <w:p w14:paraId="37790BF3">
            <w:pPr>
              <w:pStyle w:val="8"/>
              <w:jc w:val="both"/>
              <w:rPr>
                <w:rFonts w:ascii="Times New Roman"/>
                <w:color w:val="auto"/>
                <w:sz w:val="20"/>
              </w:rPr>
            </w:pPr>
          </w:p>
          <w:p w14:paraId="3BAA87FD">
            <w:pPr>
              <w:pStyle w:val="8"/>
              <w:jc w:val="both"/>
              <w:rPr>
                <w:rFonts w:ascii="Times New Roman"/>
                <w:color w:val="auto"/>
                <w:sz w:val="20"/>
              </w:rPr>
            </w:pPr>
          </w:p>
          <w:p w14:paraId="24B2DB31">
            <w:pPr>
              <w:pStyle w:val="8"/>
              <w:jc w:val="both"/>
              <w:rPr>
                <w:rFonts w:ascii="Times New Roman"/>
                <w:color w:val="auto"/>
                <w:sz w:val="20"/>
              </w:rPr>
            </w:pPr>
          </w:p>
          <w:p w14:paraId="474D5586">
            <w:pPr>
              <w:pStyle w:val="8"/>
              <w:spacing w:before="6"/>
              <w:jc w:val="both"/>
              <w:rPr>
                <w:rFonts w:ascii="Times New Roman"/>
                <w:color w:val="auto"/>
                <w:sz w:val="21"/>
              </w:rPr>
            </w:pPr>
          </w:p>
          <w:p w14:paraId="3C1E5E4F">
            <w:pPr>
              <w:pStyle w:val="8"/>
              <w:ind w:left="105"/>
              <w:jc w:val="both"/>
              <w:rPr>
                <w:color w:val="auto"/>
                <w:sz w:val="21"/>
              </w:rPr>
            </w:pPr>
            <w:r>
              <w:rPr>
                <w:color w:val="auto"/>
                <w:spacing w:val="-9"/>
                <w:sz w:val="21"/>
              </w:rPr>
              <w:t xml:space="preserve">违法所得不足 </w:t>
            </w:r>
            <w:r>
              <w:rPr>
                <w:color w:val="auto"/>
                <w:sz w:val="21"/>
              </w:rPr>
              <w:t>1</w:t>
            </w:r>
            <w:r>
              <w:rPr>
                <w:color w:val="auto"/>
                <w:spacing w:val="-30"/>
                <w:sz w:val="21"/>
              </w:rPr>
              <w:t xml:space="preserve"> 万元的，处 </w:t>
            </w:r>
            <w:r>
              <w:rPr>
                <w:color w:val="auto"/>
                <w:sz w:val="21"/>
              </w:rPr>
              <w:t>8.5</w:t>
            </w:r>
            <w:r>
              <w:rPr>
                <w:color w:val="auto"/>
                <w:spacing w:val="-12"/>
                <w:sz w:val="21"/>
              </w:rPr>
              <w:t xml:space="preserve"> 万元以上</w:t>
            </w:r>
          </w:p>
          <w:p w14:paraId="6D45585E">
            <w:pPr>
              <w:pStyle w:val="8"/>
              <w:spacing w:before="2" w:line="244" w:lineRule="auto"/>
              <w:ind w:left="105" w:right="-15"/>
              <w:jc w:val="both"/>
              <w:rPr>
                <w:color w:val="auto"/>
                <w:sz w:val="21"/>
              </w:rPr>
            </w:pPr>
            <w:r>
              <w:rPr>
                <w:color w:val="auto"/>
                <w:sz w:val="21"/>
              </w:rPr>
              <w:t>10</w:t>
            </w:r>
            <w:r>
              <w:rPr>
                <w:color w:val="auto"/>
                <w:spacing w:val="-9"/>
                <w:sz w:val="21"/>
              </w:rPr>
              <w:t xml:space="preserve"> 万元以下罚款；违法所得 </w:t>
            </w:r>
            <w:r>
              <w:rPr>
                <w:color w:val="auto"/>
                <w:sz w:val="21"/>
              </w:rPr>
              <w:t>1</w:t>
            </w:r>
            <w:r>
              <w:rPr>
                <w:color w:val="auto"/>
                <w:spacing w:val="-8"/>
                <w:sz w:val="21"/>
              </w:rPr>
              <w:t xml:space="preserve"> 万元以上</w:t>
            </w:r>
            <w:r>
              <w:rPr>
                <w:color w:val="auto"/>
                <w:spacing w:val="-15"/>
                <w:sz w:val="21"/>
              </w:rPr>
              <w:t>的，处违法所得</w:t>
            </w:r>
            <w:r>
              <w:rPr>
                <w:color w:val="auto"/>
                <w:sz w:val="21"/>
              </w:rPr>
              <w:t>17</w:t>
            </w:r>
            <w:r>
              <w:rPr>
                <w:color w:val="auto"/>
                <w:spacing w:val="-13"/>
                <w:sz w:val="21"/>
              </w:rPr>
              <w:t xml:space="preserve"> 倍以上</w:t>
            </w:r>
            <w:r>
              <w:rPr>
                <w:color w:val="auto"/>
                <w:sz w:val="21"/>
              </w:rPr>
              <w:t>20</w:t>
            </w:r>
            <w:r>
              <w:rPr>
                <w:color w:val="auto"/>
                <w:spacing w:val="-12"/>
                <w:sz w:val="21"/>
              </w:rPr>
              <w:t xml:space="preserve"> 倍以下罚款。</w:t>
            </w:r>
          </w:p>
        </w:tc>
      </w:tr>
    </w:tbl>
    <w:p w14:paraId="16075AF0">
      <w:pPr>
        <w:spacing w:after="0" w:line="244" w:lineRule="auto"/>
        <w:jc w:val="both"/>
        <w:rPr>
          <w:color w:val="auto"/>
          <w:sz w:val="21"/>
        </w:rPr>
        <w:sectPr>
          <w:pgSz w:w="16840" w:h="11910" w:orient="landscape"/>
          <w:pgMar w:top="1100" w:right="1400" w:bottom="1760" w:left="1400" w:header="0" w:footer="1572" w:gutter="0"/>
          <w:pgNumType w:fmt="numberInDash"/>
          <w:cols w:space="720" w:num="1"/>
        </w:sectPr>
      </w:pPr>
    </w:p>
    <w:tbl>
      <w:tblPr>
        <w:tblStyle w:val="6"/>
        <w:tblpPr w:leftFromText="180" w:rightFromText="180" w:vertAnchor="text" w:horzAnchor="page" w:tblpXSpec="center" w:tblpY="117"/>
        <w:tblOverlap w:val="never"/>
        <w:tblW w:w="137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27"/>
        <w:gridCol w:w="456"/>
        <w:gridCol w:w="2715"/>
        <w:gridCol w:w="2714"/>
        <w:gridCol w:w="2717"/>
        <w:gridCol w:w="3900"/>
      </w:tblGrid>
      <w:tr w14:paraId="6FA8D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jc w:val="center"/>
        </w:trPr>
        <w:tc>
          <w:tcPr>
            <w:tcW w:w="562" w:type="dxa"/>
            <w:vMerge w:val="restart"/>
            <w:vAlign w:val="top"/>
          </w:tcPr>
          <w:p w14:paraId="3306580B">
            <w:pPr>
              <w:pStyle w:val="8"/>
              <w:jc w:val="both"/>
              <w:rPr>
                <w:rFonts w:ascii="Times New Roman"/>
                <w:color w:val="auto"/>
                <w:sz w:val="20"/>
              </w:rPr>
            </w:pPr>
          </w:p>
          <w:p w14:paraId="3EF91F86">
            <w:pPr>
              <w:pStyle w:val="8"/>
              <w:jc w:val="both"/>
              <w:rPr>
                <w:rFonts w:ascii="Times New Roman"/>
                <w:color w:val="auto"/>
                <w:sz w:val="20"/>
              </w:rPr>
            </w:pPr>
          </w:p>
          <w:p w14:paraId="62B9982F">
            <w:pPr>
              <w:pStyle w:val="8"/>
              <w:jc w:val="both"/>
              <w:rPr>
                <w:rFonts w:ascii="Times New Roman"/>
                <w:color w:val="auto"/>
                <w:sz w:val="20"/>
              </w:rPr>
            </w:pPr>
          </w:p>
          <w:p w14:paraId="6F387FAB">
            <w:pPr>
              <w:pStyle w:val="8"/>
              <w:jc w:val="both"/>
              <w:rPr>
                <w:rFonts w:ascii="Times New Roman"/>
                <w:color w:val="auto"/>
                <w:sz w:val="20"/>
              </w:rPr>
            </w:pPr>
          </w:p>
          <w:p w14:paraId="7341EBF6">
            <w:pPr>
              <w:pStyle w:val="8"/>
              <w:jc w:val="both"/>
              <w:rPr>
                <w:rFonts w:ascii="Times New Roman"/>
                <w:color w:val="auto"/>
                <w:sz w:val="20"/>
              </w:rPr>
            </w:pPr>
          </w:p>
          <w:p w14:paraId="586AEA04">
            <w:pPr>
              <w:pStyle w:val="8"/>
              <w:jc w:val="both"/>
              <w:rPr>
                <w:rFonts w:ascii="Times New Roman"/>
                <w:color w:val="auto"/>
                <w:sz w:val="20"/>
              </w:rPr>
            </w:pPr>
          </w:p>
          <w:p w14:paraId="6480FD6F">
            <w:pPr>
              <w:pStyle w:val="8"/>
              <w:jc w:val="both"/>
              <w:rPr>
                <w:rFonts w:ascii="Times New Roman"/>
                <w:color w:val="auto"/>
                <w:sz w:val="20"/>
              </w:rPr>
            </w:pPr>
          </w:p>
          <w:p w14:paraId="6E3547C4">
            <w:pPr>
              <w:pStyle w:val="8"/>
              <w:jc w:val="both"/>
              <w:rPr>
                <w:rFonts w:ascii="Times New Roman"/>
                <w:color w:val="auto"/>
                <w:sz w:val="20"/>
              </w:rPr>
            </w:pPr>
          </w:p>
          <w:p w14:paraId="7AC3E9E8">
            <w:pPr>
              <w:pStyle w:val="8"/>
              <w:jc w:val="both"/>
              <w:rPr>
                <w:rFonts w:ascii="Times New Roman"/>
                <w:color w:val="auto"/>
                <w:sz w:val="20"/>
              </w:rPr>
            </w:pPr>
          </w:p>
          <w:p w14:paraId="74316C3E">
            <w:pPr>
              <w:pStyle w:val="8"/>
              <w:jc w:val="both"/>
              <w:rPr>
                <w:rFonts w:ascii="Times New Roman"/>
                <w:color w:val="auto"/>
                <w:sz w:val="20"/>
              </w:rPr>
            </w:pPr>
          </w:p>
          <w:p w14:paraId="5597B8C9">
            <w:pPr>
              <w:pStyle w:val="8"/>
              <w:jc w:val="both"/>
              <w:rPr>
                <w:rFonts w:ascii="Times New Roman"/>
                <w:color w:val="auto"/>
                <w:sz w:val="20"/>
              </w:rPr>
            </w:pPr>
          </w:p>
          <w:p w14:paraId="6F9F6266">
            <w:pPr>
              <w:pStyle w:val="8"/>
              <w:jc w:val="both"/>
              <w:rPr>
                <w:rFonts w:ascii="Times New Roman"/>
                <w:color w:val="auto"/>
                <w:sz w:val="20"/>
              </w:rPr>
            </w:pPr>
          </w:p>
          <w:p w14:paraId="0F4BEEAA">
            <w:pPr>
              <w:pStyle w:val="8"/>
              <w:jc w:val="both"/>
              <w:rPr>
                <w:rFonts w:ascii="Times New Roman"/>
                <w:color w:val="auto"/>
                <w:sz w:val="20"/>
              </w:rPr>
            </w:pPr>
          </w:p>
          <w:p w14:paraId="74AAD809">
            <w:pPr>
              <w:pStyle w:val="8"/>
              <w:jc w:val="both"/>
              <w:rPr>
                <w:rFonts w:ascii="Times New Roman"/>
                <w:color w:val="auto"/>
                <w:sz w:val="20"/>
              </w:rPr>
            </w:pPr>
          </w:p>
          <w:p w14:paraId="346F1FD5">
            <w:pPr>
              <w:pStyle w:val="8"/>
              <w:jc w:val="both"/>
              <w:rPr>
                <w:rFonts w:ascii="Times New Roman"/>
                <w:color w:val="auto"/>
                <w:sz w:val="20"/>
              </w:rPr>
            </w:pPr>
          </w:p>
          <w:p w14:paraId="4EDD452C">
            <w:pPr>
              <w:pStyle w:val="8"/>
              <w:spacing w:before="6"/>
              <w:jc w:val="both"/>
              <w:rPr>
                <w:rFonts w:ascii="Times New Roman"/>
                <w:color w:val="auto"/>
                <w:sz w:val="16"/>
              </w:rPr>
            </w:pPr>
          </w:p>
          <w:p w14:paraId="2439BFE1">
            <w:pPr>
              <w:pStyle w:val="8"/>
              <w:ind w:left="9"/>
              <w:jc w:val="center"/>
              <w:rPr>
                <w:b/>
                <w:color w:val="auto"/>
                <w:sz w:val="21"/>
              </w:rPr>
            </w:pPr>
            <w:r>
              <w:rPr>
                <w:b/>
                <w:color w:val="auto"/>
                <w:w w:val="99"/>
                <w:sz w:val="21"/>
              </w:rPr>
              <w:t>4</w:t>
            </w:r>
          </w:p>
        </w:tc>
        <w:tc>
          <w:tcPr>
            <w:tcW w:w="1183" w:type="dxa"/>
            <w:gridSpan w:val="2"/>
            <w:vAlign w:val="top"/>
          </w:tcPr>
          <w:p w14:paraId="2C40BC95">
            <w:pPr>
              <w:pStyle w:val="8"/>
              <w:jc w:val="both"/>
              <w:rPr>
                <w:rFonts w:ascii="Times New Roman"/>
                <w:color w:val="auto"/>
                <w:sz w:val="20"/>
              </w:rPr>
            </w:pPr>
          </w:p>
          <w:p w14:paraId="543D3E19">
            <w:pPr>
              <w:pStyle w:val="8"/>
              <w:spacing w:before="8"/>
              <w:jc w:val="both"/>
              <w:rPr>
                <w:rFonts w:ascii="Times New Roman"/>
                <w:color w:val="auto"/>
                <w:sz w:val="15"/>
              </w:rPr>
            </w:pPr>
          </w:p>
          <w:p w14:paraId="4CC506DD">
            <w:pPr>
              <w:pStyle w:val="8"/>
              <w:spacing w:before="1"/>
              <w:ind w:left="170"/>
              <w:jc w:val="both"/>
              <w:rPr>
                <w:b/>
                <w:color w:val="auto"/>
                <w:sz w:val="21"/>
              </w:rPr>
            </w:pPr>
            <w:r>
              <w:rPr>
                <w:b/>
                <w:color w:val="auto"/>
                <w:sz w:val="21"/>
              </w:rPr>
              <w:t>违法行为</w:t>
            </w:r>
          </w:p>
        </w:tc>
        <w:tc>
          <w:tcPr>
            <w:tcW w:w="12046" w:type="dxa"/>
            <w:gridSpan w:val="4"/>
            <w:vAlign w:val="top"/>
          </w:tcPr>
          <w:p w14:paraId="1E33798B">
            <w:pPr>
              <w:pStyle w:val="8"/>
              <w:spacing w:before="1" w:line="244" w:lineRule="auto"/>
              <w:ind w:left="530" w:right="7720" w:hanging="3"/>
              <w:jc w:val="both"/>
              <w:rPr>
                <w:color w:val="auto"/>
                <w:sz w:val="21"/>
              </w:rPr>
            </w:pPr>
            <w:r>
              <w:rPr>
                <w:color w:val="auto"/>
                <w:sz w:val="21"/>
              </w:rPr>
              <w:t>生产、经营未经备案的第一类医疗器械； 未经备案从事第一类医疗器械生产；</w:t>
            </w:r>
          </w:p>
          <w:p w14:paraId="32F2FDEB">
            <w:pPr>
              <w:pStyle w:val="8"/>
              <w:spacing w:line="265" w:lineRule="exact"/>
              <w:ind w:left="530"/>
              <w:jc w:val="both"/>
              <w:rPr>
                <w:color w:val="auto"/>
                <w:sz w:val="21"/>
              </w:rPr>
            </w:pPr>
            <w:r>
              <w:rPr>
                <w:color w:val="auto"/>
                <w:sz w:val="21"/>
              </w:rPr>
              <w:t>经营第二类医疗器械，应当备案但未备案；</w:t>
            </w:r>
          </w:p>
          <w:p w14:paraId="2A041187">
            <w:pPr>
              <w:pStyle w:val="8"/>
              <w:spacing w:before="4" w:line="250" w:lineRule="exact"/>
              <w:ind w:left="530"/>
              <w:jc w:val="both"/>
              <w:rPr>
                <w:color w:val="auto"/>
                <w:sz w:val="21"/>
              </w:rPr>
            </w:pPr>
            <w:r>
              <w:rPr>
                <w:color w:val="auto"/>
                <w:sz w:val="21"/>
              </w:rPr>
              <w:t>已经备案的资料不符合要求。</w:t>
            </w:r>
          </w:p>
        </w:tc>
      </w:tr>
      <w:tr w14:paraId="2D82B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1" w:hRule="atLeast"/>
          <w:jc w:val="center"/>
        </w:trPr>
        <w:tc>
          <w:tcPr>
            <w:tcW w:w="562" w:type="dxa"/>
            <w:vMerge w:val="continue"/>
            <w:tcBorders>
              <w:top w:val="nil"/>
            </w:tcBorders>
            <w:vAlign w:val="top"/>
          </w:tcPr>
          <w:p w14:paraId="101932BC">
            <w:pPr>
              <w:jc w:val="both"/>
              <w:rPr>
                <w:color w:val="auto"/>
                <w:sz w:val="2"/>
                <w:szCs w:val="2"/>
              </w:rPr>
            </w:pPr>
          </w:p>
        </w:tc>
        <w:tc>
          <w:tcPr>
            <w:tcW w:w="1183" w:type="dxa"/>
            <w:gridSpan w:val="2"/>
            <w:vAlign w:val="top"/>
          </w:tcPr>
          <w:p w14:paraId="3F4F823C">
            <w:pPr>
              <w:pStyle w:val="8"/>
              <w:jc w:val="both"/>
              <w:rPr>
                <w:rFonts w:ascii="Times New Roman"/>
                <w:color w:val="auto"/>
                <w:sz w:val="20"/>
              </w:rPr>
            </w:pPr>
          </w:p>
          <w:p w14:paraId="743A46A0">
            <w:pPr>
              <w:pStyle w:val="8"/>
              <w:jc w:val="both"/>
              <w:rPr>
                <w:rFonts w:ascii="Times New Roman"/>
                <w:color w:val="auto"/>
                <w:sz w:val="20"/>
              </w:rPr>
            </w:pPr>
          </w:p>
          <w:p w14:paraId="737E7C40">
            <w:pPr>
              <w:pStyle w:val="8"/>
              <w:spacing w:before="3"/>
              <w:jc w:val="both"/>
              <w:rPr>
                <w:rFonts w:ascii="Times New Roman"/>
                <w:color w:val="auto"/>
                <w:sz w:val="22"/>
              </w:rPr>
            </w:pPr>
          </w:p>
          <w:p w14:paraId="5DA30F24">
            <w:pPr>
              <w:pStyle w:val="8"/>
              <w:spacing w:before="1"/>
              <w:ind w:left="170"/>
              <w:jc w:val="both"/>
              <w:rPr>
                <w:b/>
                <w:color w:val="auto"/>
                <w:sz w:val="21"/>
              </w:rPr>
            </w:pPr>
            <w:r>
              <w:rPr>
                <w:b/>
                <w:color w:val="auto"/>
                <w:sz w:val="21"/>
              </w:rPr>
              <w:t>处罚依据</w:t>
            </w:r>
          </w:p>
        </w:tc>
        <w:tc>
          <w:tcPr>
            <w:tcW w:w="12046" w:type="dxa"/>
            <w:gridSpan w:val="4"/>
            <w:vAlign w:val="top"/>
          </w:tcPr>
          <w:p w14:paraId="353E7D89">
            <w:pPr>
              <w:pStyle w:val="8"/>
              <w:spacing w:before="171" w:line="244" w:lineRule="auto"/>
              <w:ind w:left="108" w:right="94" w:firstLine="420"/>
              <w:jc w:val="both"/>
              <w:rPr>
                <w:color w:val="auto"/>
                <w:sz w:val="21"/>
              </w:rPr>
            </w:pPr>
            <w:r>
              <w:rPr>
                <w:color w:val="auto"/>
                <w:spacing w:val="-1"/>
                <w:sz w:val="21"/>
              </w:rPr>
              <w:t xml:space="preserve">根据《医疗器械监督管理条例》第八十四条规定，由负责药品监督管理的部门向社会公告单位和产品名称，责令限期改正； </w:t>
            </w:r>
            <w:r>
              <w:rPr>
                <w:color w:val="auto"/>
                <w:spacing w:val="-4"/>
                <w:sz w:val="21"/>
              </w:rPr>
              <w:t xml:space="preserve">逾期不改正的，没收违法所得、违法生产经营的医疗器械；违法生产经营的医疗器械货值金额不足 </w:t>
            </w:r>
            <w:r>
              <w:rPr>
                <w:color w:val="auto"/>
                <w:sz w:val="21"/>
              </w:rPr>
              <w:t>1</w:t>
            </w:r>
            <w:r>
              <w:rPr>
                <w:color w:val="auto"/>
                <w:spacing w:val="-7"/>
                <w:sz w:val="21"/>
              </w:rPr>
              <w:t xml:space="preserve"> 万元的，并处 </w:t>
            </w:r>
            <w:r>
              <w:rPr>
                <w:color w:val="auto"/>
                <w:sz w:val="21"/>
              </w:rPr>
              <w:t>1</w:t>
            </w:r>
            <w:r>
              <w:rPr>
                <w:color w:val="auto"/>
                <w:spacing w:val="-9"/>
                <w:sz w:val="21"/>
              </w:rPr>
              <w:t xml:space="preserve"> 万元以上 </w:t>
            </w:r>
            <w:r>
              <w:rPr>
                <w:color w:val="auto"/>
                <w:sz w:val="21"/>
              </w:rPr>
              <w:t>5</w:t>
            </w:r>
          </w:p>
          <w:p w14:paraId="61B5E785">
            <w:pPr>
              <w:pStyle w:val="8"/>
              <w:spacing w:line="242" w:lineRule="auto"/>
              <w:ind w:left="108" w:right="92"/>
              <w:jc w:val="both"/>
              <w:rPr>
                <w:color w:val="auto"/>
                <w:sz w:val="21"/>
              </w:rPr>
            </w:pPr>
            <w:r>
              <w:rPr>
                <w:color w:val="auto"/>
                <w:spacing w:val="-8"/>
                <w:sz w:val="21"/>
              </w:rPr>
              <w:t xml:space="preserve">万元以下罚款；货值金额 </w:t>
            </w:r>
            <w:r>
              <w:rPr>
                <w:color w:val="auto"/>
                <w:sz w:val="21"/>
              </w:rPr>
              <w:t>1</w:t>
            </w:r>
            <w:r>
              <w:rPr>
                <w:color w:val="auto"/>
                <w:spacing w:val="-12"/>
                <w:sz w:val="21"/>
              </w:rPr>
              <w:t xml:space="preserve"> 万元以上的，并处货值金额 </w:t>
            </w:r>
            <w:r>
              <w:rPr>
                <w:color w:val="auto"/>
                <w:sz w:val="21"/>
              </w:rPr>
              <w:t>5</w:t>
            </w:r>
            <w:r>
              <w:rPr>
                <w:color w:val="auto"/>
                <w:spacing w:val="-19"/>
                <w:sz w:val="21"/>
              </w:rPr>
              <w:t xml:space="preserve"> 倍以上 </w:t>
            </w:r>
            <w:r>
              <w:rPr>
                <w:color w:val="auto"/>
                <w:sz w:val="21"/>
              </w:rPr>
              <w:t>20</w:t>
            </w:r>
            <w:r>
              <w:rPr>
                <w:color w:val="auto"/>
                <w:spacing w:val="-10"/>
                <w:sz w:val="21"/>
              </w:rPr>
              <w:t xml:space="preserve"> 倍以下罚款；情节严重的，对违法单位的法定代表人、主要负</w:t>
            </w:r>
            <w:r>
              <w:rPr>
                <w:color w:val="auto"/>
                <w:spacing w:val="-6"/>
                <w:sz w:val="21"/>
              </w:rPr>
              <w:t xml:space="preserve">责人、直接负责的主管人员和其他责任人员，没收违法行为发生期间自本单位所获收入，并处所获收入 </w:t>
            </w:r>
            <w:r>
              <w:rPr>
                <w:color w:val="auto"/>
                <w:sz w:val="21"/>
              </w:rPr>
              <w:t>30</w:t>
            </w:r>
            <w:r>
              <w:rPr>
                <w:color w:val="auto"/>
                <w:spacing w:val="-8"/>
                <w:sz w:val="21"/>
              </w:rPr>
              <w:t xml:space="preserve">%以上 </w:t>
            </w:r>
            <w:r>
              <w:rPr>
                <w:color w:val="auto"/>
                <w:sz w:val="21"/>
              </w:rPr>
              <w:t>2</w:t>
            </w:r>
            <w:r>
              <w:rPr>
                <w:color w:val="auto"/>
                <w:spacing w:val="-7"/>
                <w:sz w:val="21"/>
              </w:rPr>
              <w:t xml:space="preserve"> 倍以下罚款，</w:t>
            </w:r>
            <w:r>
              <w:rPr>
                <w:color w:val="auto"/>
                <w:sz w:val="21"/>
              </w:rPr>
              <w:t xml:space="preserve">5 </w:t>
            </w:r>
            <w:r>
              <w:rPr>
                <w:color w:val="auto"/>
                <w:spacing w:val="-3"/>
                <w:sz w:val="21"/>
              </w:rPr>
              <w:t>年内禁止其从事医疗器械生产经营活动。</w:t>
            </w:r>
          </w:p>
        </w:tc>
      </w:tr>
      <w:tr w14:paraId="5E6A5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562" w:type="dxa"/>
            <w:vMerge w:val="continue"/>
            <w:tcBorders>
              <w:top w:val="nil"/>
            </w:tcBorders>
            <w:vAlign w:val="top"/>
          </w:tcPr>
          <w:p w14:paraId="4D857B93">
            <w:pPr>
              <w:jc w:val="both"/>
              <w:rPr>
                <w:color w:val="auto"/>
                <w:sz w:val="2"/>
                <w:szCs w:val="2"/>
              </w:rPr>
            </w:pPr>
          </w:p>
        </w:tc>
        <w:tc>
          <w:tcPr>
            <w:tcW w:w="1183" w:type="dxa"/>
            <w:gridSpan w:val="2"/>
            <w:vAlign w:val="top"/>
          </w:tcPr>
          <w:p w14:paraId="0BBF53B6">
            <w:pPr>
              <w:pStyle w:val="8"/>
              <w:spacing w:before="149"/>
              <w:ind w:left="170"/>
              <w:jc w:val="both"/>
              <w:rPr>
                <w:b/>
                <w:color w:val="auto"/>
                <w:sz w:val="21"/>
              </w:rPr>
            </w:pPr>
            <w:r>
              <w:rPr>
                <w:b/>
                <w:color w:val="auto"/>
                <w:sz w:val="21"/>
              </w:rPr>
              <w:t>裁量等级</w:t>
            </w:r>
          </w:p>
        </w:tc>
        <w:tc>
          <w:tcPr>
            <w:tcW w:w="2715" w:type="dxa"/>
            <w:vAlign w:val="top"/>
          </w:tcPr>
          <w:p w14:paraId="6EE1DF78">
            <w:pPr>
              <w:pStyle w:val="8"/>
              <w:spacing w:before="149"/>
              <w:ind w:left="108"/>
              <w:jc w:val="both"/>
              <w:rPr>
                <w:b/>
                <w:color w:val="auto"/>
                <w:sz w:val="21"/>
              </w:rPr>
            </w:pPr>
            <w:r>
              <w:rPr>
                <w:b/>
                <w:color w:val="auto"/>
                <w:sz w:val="21"/>
              </w:rPr>
              <w:t>减轻</w:t>
            </w:r>
          </w:p>
        </w:tc>
        <w:tc>
          <w:tcPr>
            <w:tcW w:w="2714" w:type="dxa"/>
            <w:vAlign w:val="top"/>
          </w:tcPr>
          <w:p w14:paraId="03BED74D">
            <w:pPr>
              <w:pStyle w:val="8"/>
              <w:spacing w:before="149"/>
              <w:ind w:left="108"/>
              <w:jc w:val="both"/>
              <w:rPr>
                <w:b/>
                <w:color w:val="auto"/>
                <w:sz w:val="21"/>
              </w:rPr>
            </w:pPr>
            <w:r>
              <w:rPr>
                <w:b/>
                <w:color w:val="auto"/>
                <w:sz w:val="21"/>
              </w:rPr>
              <w:t>从轻</w:t>
            </w:r>
          </w:p>
        </w:tc>
        <w:tc>
          <w:tcPr>
            <w:tcW w:w="2717" w:type="dxa"/>
            <w:vAlign w:val="top"/>
          </w:tcPr>
          <w:p w14:paraId="45D66C25">
            <w:pPr>
              <w:pStyle w:val="8"/>
              <w:spacing w:before="149"/>
              <w:ind w:left="108"/>
              <w:jc w:val="both"/>
              <w:rPr>
                <w:b/>
                <w:color w:val="auto"/>
                <w:sz w:val="21"/>
              </w:rPr>
            </w:pPr>
            <w:r>
              <w:rPr>
                <w:b/>
                <w:color w:val="auto"/>
                <w:sz w:val="21"/>
              </w:rPr>
              <w:t>一般</w:t>
            </w:r>
          </w:p>
        </w:tc>
        <w:tc>
          <w:tcPr>
            <w:tcW w:w="3900" w:type="dxa"/>
            <w:vAlign w:val="top"/>
          </w:tcPr>
          <w:p w14:paraId="581613CA">
            <w:pPr>
              <w:pStyle w:val="8"/>
              <w:spacing w:before="149"/>
              <w:ind w:left="106"/>
              <w:jc w:val="both"/>
              <w:rPr>
                <w:b/>
                <w:color w:val="auto"/>
                <w:sz w:val="21"/>
              </w:rPr>
            </w:pPr>
            <w:r>
              <w:rPr>
                <w:b/>
                <w:color w:val="auto"/>
                <w:sz w:val="21"/>
              </w:rPr>
              <w:t>从重</w:t>
            </w:r>
          </w:p>
        </w:tc>
      </w:tr>
      <w:tr w14:paraId="7A1FA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562" w:type="dxa"/>
            <w:vMerge w:val="continue"/>
            <w:tcBorders>
              <w:top w:val="nil"/>
            </w:tcBorders>
            <w:vAlign w:val="top"/>
          </w:tcPr>
          <w:p w14:paraId="63DFCA07">
            <w:pPr>
              <w:jc w:val="both"/>
              <w:rPr>
                <w:color w:val="auto"/>
                <w:sz w:val="2"/>
                <w:szCs w:val="2"/>
              </w:rPr>
            </w:pPr>
          </w:p>
        </w:tc>
        <w:tc>
          <w:tcPr>
            <w:tcW w:w="1183" w:type="dxa"/>
            <w:gridSpan w:val="2"/>
            <w:vAlign w:val="top"/>
          </w:tcPr>
          <w:p w14:paraId="3959F7F2">
            <w:pPr>
              <w:pStyle w:val="8"/>
              <w:spacing w:before="3"/>
              <w:jc w:val="both"/>
              <w:rPr>
                <w:rFonts w:ascii="Times New Roman"/>
                <w:color w:val="auto"/>
                <w:sz w:val="20"/>
              </w:rPr>
            </w:pPr>
          </w:p>
          <w:p w14:paraId="1E943F77">
            <w:pPr>
              <w:pStyle w:val="8"/>
              <w:spacing w:before="1"/>
              <w:ind w:left="170"/>
              <w:jc w:val="both"/>
              <w:rPr>
                <w:b/>
                <w:color w:val="auto"/>
                <w:sz w:val="21"/>
              </w:rPr>
            </w:pPr>
            <w:r>
              <w:rPr>
                <w:b/>
                <w:color w:val="auto"/>
                <w:sz w:val="21"/>
              </w:rPr>
              <w:t>裁量情节</w:t>
            </w:r>
          </w:p>
        </w:tc>
        <w:tc>
          <w:tcPr>
            <w:tcW w:w="2715" w:type="dxa"/>
            <w:vAlign w:val="top"/>
          </w:tcPr>
          <w:p w14:paraId="663C55B5">
            <w:pPr>
              <w:pStyle w:val="8"/>
              <w:spacing w:before="97" w:line="242" w:lineRule="auto"/>
              <w:ind w:left="108" w:right="97"/>
              <w:jc w:val="both"/>
              <w:rPr>
                <w:color w:val="auto"/>
                <w:sz w:val="21"/>
              </w:rPr>
            </w:pPr>
            <w:r>
              <w:rPr>
                <w:color w:val="auto"/>
                <w:sz w:val="21"/>
              </w:rPr>
              <w:t>符合裁量规定减轻行政处罚情形的。</w:t>
            </w:r>
          </w:p>
        </w:tc>
        <w:tc>
          <w:tcPr>
            <w:tcW w:w="2714" w:type="dxa"/>
            <w:vAlign w:val="top"/>
          </w:tcPr>
          <w:p w14:paraId="0D94A76E">
            <w:pPr>
              <w:pStyle w:val="8"/>
              <w:spacing w:before="97" w:line="242" w:lineRule="auto"/>
              <w:ind w:left="108" w:right="94"/>
              <w:jc w:val="both"/>
              <w:rPr>
                <w:color w:val="auto"/>
                <w:sz w:val="21"/>
              </w:rPr>
            </w:pPr>
            <w:r>
              <w:rPr>
                <w:color w:val="auto"/>
                <w:sz w:val="21"/>
              </w:rPr>
              <w:t>符合裁量规定从轻行政处罚情形的。</w:t>
            </w:r>
          </w:p>
        </w:tc>
        <w:tc>
          <w:tcPr>
            <w:tcW w:w="2717" w:type="dxa"/>
            <w:vAlign w:val="top"/>
          </w:tcPr>
          <w:p w14:paraId="359B1208">
            <w:pPr>
              <w:pStyle w:val="8"/>
              <w:spacing w:before="97" w:line="242" w:lineRule="auto"/>
              <w:ind w:left="108" w:right="97"/>
              <w:jc w:val="both"/>
              <w:rPr>
                <w:color w:val="auto"/>
                <w:sz w:val="21"/>
              </w:rPr>
            </w:pPr>
            <w:r>
              <w:rPr>
                <w:color w:val="auto"/>
                <w:sz w:val="21"/>
              </w:rPr>
              <w:t>符合裁量规定一般行政处罚情形的。</w:t>
            </w:r>
          </w:p>
        </w:tc>
        <w:tc>
          <w:tcPr>
            <w:tcW w:w="3900" w:type="dxa"/>
            <w:vAlign w:val="top"/>
          </w:tcPr>
          <w:p w14:paraId="24BDDD55">
            <w:pPr>
              <w:pStyle w:val="8"/>
              <w:spacing w:before="3"/>
              <w:jc w:val="both"/>
              <w:rPr>
                <w:rFonts w:ascii="Times New Roman"/>
                <w:color w:val="auto"/>
                <w:sz w:val="20"/>
              </w:rPr>
            </w:pPr>
          </w:p>
          <w:p w14:paraId="58344F21">
            <w:pPr>
              <w:pStyle w:val="8"/>
              <w:spacing w:before="1"/>
              <w:ind w:left="106"/>
              <w:jc w:val="both"/>
              <w:rPr>
                <w:color w:val="auto"/>
                <w:sz w:val="21"/>
              </w:rPr>
            </w:pPr>
            <w:r>
              <w:rPr>
                <w:color w:val="auto"/>
                <w:sz w:val="21"/>
              </w:rPr>
              <w:t>符合裁量规定从重行政处罚情形的。</w:t>
            </w:r>
          </w:p>
        </w:tc>
      </w:tr>
      <w:tr w14:paraId="41BC7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jc w:val="center"/>
        </w:trPr>
        <w:tc>
          <w:tcPr>
            <w:tcW w:w="562" w:type="dxa"/>
            <w:vMerge w:val="continue"/>
            <w:tcBorders>
              <w:top w:val="nil"/>
            </w:tcBorders>
            <w:vAlign w:val="top"/>
          </w:tcPr>
          <w:p w14:paraId="274348CC">
            <w:pPr>
              <w:jc w:val="both"/>
              <w:rPr>
                <w:color w:val="auto"/>
                <w:sz w:val="2"/>
                <w:szCs w:val="2"/>
              </w:rPr>
            </w:pPr>
          </w:p>
        </w:tc>
        <w:tc>
          <w:tcPr>
            <w:tcW w:w="727" w:type="dxa"/>
            <w:vMerge w:val="restart"/>
            <w:vAlign w:val="top"/>
          </w:tcPr>
          <w:p w14:paraId="02CF6C01">
            <w:pPr>
              <w:pStyle w:val="8"/>
              <w:jc w:val="both"/>
              <w:rPr>
                <w:rFonts w:ascii="Times New Roman"/>
                <w:color w:val="auto"/>
                <w:sz w:val="20"/>
              </w:rPr>
            </w:pPr>
          </w:p>
          <w:p w14:paraId="598E7D54">
            <w:pPr>
              <w:pStyle w:val="8"/>
              <w:jc w:val="both"/>
              <w:rPr>
                <w:rFonts w:ascii="Times New Roman"/>
                <w:color w:val="auto"/>
                <w:sz w:val="20"/>
              </w:rPr>
            </w:pPr>
          </w:p>
          <w:p w14:paraId="121C8196">
            <w:pPr>
              <w:pStyle w:val="8"/>
              <w:jc w:val="both"/>
              <w:rPr>
                <w:rFonts w:ascii="Times New Roman"/>
                <w:color w:val="auto"/>
                <w:sz w:val="20"/>
              </w:rPr>
            </w:pPr>
          </w:p>
          <w:p w14:paraId="23DF1B1A">
            <w:pPr>
              <w:pStyle w:val="8"/>
              <w:jc w:val="both"/>
              <w:rPr>
                <w:rFonts w:ascii="Times New Roman"/>
                <w:color w:val="auto"/>
                <w:sz w:val="20"/>
              </w:rPr>
            </w:pPr>
          </w:p>
          <w:p w14:paraId="1BC58C50">
            <w:pPr>
              <w:pStyle w:val="8"/>
              <w:jc w:val="both"/>
              <w:rPr>
                <w:rFonts w:ascii="Times New Roman"/>
                <w:color w:val="auto"/>
                <w:sz w:val="20"/>
              </w:rPr>
            </w:pPr>
          </w:p>
          <w:p w14:paraId="177258A3">
            <w:pPr>
              <w:pStyle w:val="8"/>
              <w:spacing w:before="8"/>
              <w:jc w:val="both"/>
              <w:rPr>
                <w:rFonts w:ascii="Times New Roman"/>
                <w:color w:val="auto"/>
                <w:sz w:val="24"/>
              </w:rPr>
            </w:pPr>
          </w:p>
          <w:p w14:paraId="6AA19C9D">
            <w:pPr>
              <w:pStyle w:val="8"/>
              <w:spacing w:line="244" w:lineRule="auto"/>
              <w:ind w:left="151" w:right="141"/>
              <w:jc w:val="both"/>
              <w:rPr>
                <w:b/>
                <w:color w:val="auto"/>
                <w:sz w:val="21"/>
              </w:rPr>
            </w:pPr>
            <w:r>
              <w:rPr>
                <w:b/>
                <w:color w:val="auto"/>
                <w:sz w:val="21"/>
              </w:rPr>
              <w:t>裁量基准</w:t>
            </w:r>
          </w:p>
        </w:tc>
        <w:tc>
          <w:tcPr>
            <w:tcW w:w="456" w:type="dxa"/>
            <w:vAlign w:val="top"/>
          </w:tcPr>
          <w:p w14:paraId="562323C6">
            <w:pPr>
              <w:pStyle w:val="8"/>
              <w:spacing w:before="7"/>
              <w:jc w:val="both"/>
              <w:rPr>
                <w:rFonts w:ascii="Times New Roman"/>
                <w:color w:val="auto"/>
                <w:sz w:val="26"/>
              </w:rPr>
            </w:pPr>
          </w:p>
          <w:p w14:paraId="1D620EC0">
            <w:pPr>
              <w:pStyle w:val="8"/>
              <w:spacing w:line="242" w:lineRule="auto"/>
              <w:ind w:left="122" w:right="110"/>
              <w:jc w:val="both"/>
              <w:rPr>
                <w:b/>
                <w:color w:val="auto"/>
                <w:sz w:val="21"/>
              </w:rPr>
            </w:pPr>
            <w:r>
              <w:rPr>
                <w:b/>
                <w:color w:val="auto"/>
                <w:sz w:val="21"/>
              </w:rPr>
              <w:t>一般情形</w:t>
            </w:r>
          </w:p>
        </w:tc>
        <w:tc>
          <w:tcPr>
            <w:tcW w:w="2715" w:type="dxa"/>
            <w:vAlign w:val="top"/>
          </w:tcPr>
          <w:p w14:paraId="1748D4A8">
            <w:pPr>
              <w:pStyle w:val="8"/>
              <w:spacing w:before="171"/>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14:paraId="3E02AF3C">
            <w:pPr>
              <w:pStyle w:val="8"/>
              <w:spacing w:before="3" w:line="242" w:lineRule="auto"/>
              <w:ind w:left="108" w:right="-15"/>
              <w:jc w:val="both"/>
              <w:rPr>
                <w:color w:val="auto"/>
                <w:sz w:val="21"/>
              </w:rPr>
            </w:pPr>
            <w:r>
              <w:rPr>
                <w:color w:val="auto"/>
                <w:sz w:val="21"/>
              </w:rPr>
              <w:t>0.1</w:t>
            </w:r>
            <w:r>
              <w:rPr>
                <w:color w:val="auto"/>
                <w:spacing w:val="-16"/>
                <w:sz w:val="21"/>
              </w:rPr>
              <w:t xml:space="preserve"> 万元以上 </w:t>
            </w:r>
            <w:r>
              <w:rPr>
                <w:color w:val="auto"/>
                <w:sz w:val="21"/>
              </w:rPr>
              <w:t>1</w:t>
            </w:r>
            <w:r>
              <w:rPr>
                <w:color w:val="auto"/>
                <w:spacing w:val="-10"/>
                <w:sz w:val="21"/>
              </w:rPr>
              <w:t xml:space="preserve"> 万元以下罚</w:t>
            </w:r>
            <w:r>
              <w:rPr>
                <w:color w:val="auto"/>
                <w:spacing w:val="-26"/>
                <w:sz w:val="21"/>
              </w:rPr>
              <w:t xml:space="preserve">款；货值金额 </w:t>
            </w:r>
            <w:r>
              <w:rPr>
                <w:color w:val="auto"/>
                <w:sz w:val="21"/>
              </w:rPr>
              <w:t>1</w:t>
            </w:r>
            <w:r>
              <w:rPr>
                <w:color w:val="auto"/>
                <w:spacing w:val="-12"/>
                <w:sz w:val="21"/>
              </w:rPr>
              <w:t xml:space="preserve"> 万元以上的， </w:t>
            </w:r>
            <w:r>
              <w:rPr>
                <w:color w:val="auto"/>
                <w:spacing w:val="-16"/>
                <w:sz w:val="21"/>
              </w:rPr>
              <w:t xml:space="preserve">处货值金额 </w:t>
            </w:r>
            <w:r>
              <w:rPr>
                <w:color w:val="auto"/>
                <w:sz w:val="21"/>
              </w:rPr>
              <w:t>0.5</w:t>
            </w:r>
            <w:r>
              <w:rPr>
                <w:color w:val="auto"/>
                <w:spacing w:val="-25"/>
                <w:sz w:val="21"/>
              </w:rPr>
              <w:t xml:space="preserve"> 倍以上 </w:t>
            </w:r>
            <w:r>
              <w:rPr>
                <w:color w:val="auto"/>
                <w:sz w:val="21"/>
              </w:rPr>
              <w:t>5</w:t>
            </w:r>
            <w:r>
              <w:rPr>
                <w:color w:val="auto"/>
                <w:spacing w:val="-29"/>
                <w:sz w:val="21"/>
              </w:rPr>
              <w:t xml:space="preserve"> 倍</w:t>
            </w:r>
            <w:r>
              <w:rPr>
                <w:color w:val="auto"/>
                <w:spacing w:val="-13"/>
                <w:sz w:val="21"/>
              </w:rPr>
              <w:t>以下罚款。</w:t>
            </w:r>
          </w:p>
        </w:tc>
        <w:tc>
          <w:tcPr>
            <w:tcW w:w="2714" w:type="dxa"/>
            <w:vAlign w:val="top"/>
          </w:tcPr>
          <w:p w14:paraId="1AF21E25">
            <w:pPr>
              <w:pStyle w:val="8"/>
              <w:spacing w:before="171"/>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682B2430">
            <w:pPr>
              <w:pStyle w:val="8"/>
              <w:spacing w:before="3"/>
              <w:ind w:left="108"/>
              <w:jc w:val="both"/>
              <w:rPr>
                <w:color w:val="auto"/>
                <w:sz w:val="21"/>
              </w:rPr>
            </w:pPr>
            <w:r>
              <w:rPr>
                <w:color w:val="auto"/>
                <w:spacing w:val="-28"/>
                <w:sz w:val="21"/>
              </w:rPr>
              <w:t xml:space="preserve">处 </w:t>
            </w:r>
            <w:r>
              <w:rPr>
                <w:color w:val="auto"/>
                <w:sz w:val="21"/>
              </w:rPr>
              <w:t>1</w:t>
            </w:r>
            <w:r>
              <w:rPr>
                <w:color w:val="auto"/>
                <w:spacing w:val="-21"/>
                <w:sz w:val="21"/>
              </w:rPr>
              <w:t xml:space="preserve"> 万元以上 </w:t>
            </w:r>
            <w:r>
              <w:rPr>
                <w:color w:val="auto"/>
                <w:sz w:val="21"/>
              </w:rPr>
              <w:t>2.2</w:t>
            </w:r>
            <w:r>
              <w:rPr>
                <w:color w:val="auto"/>
                <w:spacing w:val="-13"/>
                <w:sz w:val="21"/>
              </w:rPr>
              <w:t xml:space="preserve"> 万元以下</w:t>
            </w:r>
          </w:p>
          <w:p w14:paraId="398137A7">
            <w:pPr>
              <w:pStyle w:val="8"/>
              <w:spacing w:before="4"/>
              <w:ind w:left="108"/>
              <w:jc w:val="both"/>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14:paraId="75AA49B7">
            <w:pPr>
              <w:pStyle w:val="8"/>
              <w:spacing w:before="2"/>
              <w:ind w:left="108"/>
              <w:jc w:val="both"/>
              <w:rPr>
                <w:color w:val="auto"/>
                <w:sz w:val="21"/>
              </w:rPr>
            </w:pPr>
            <w:r>
              <w:rPr>
                <w:color w:val="auto"/>
                <w:spacing w:val="-11"/>
                <w:sz w:val="21"/>
              </w:rPr>
              <w:t xml:space="preserve">的，并处货值金额 </w:t>
            </w:r>
            <w:r>
              <w:rPr>
                <w:color w:val="auto"/>
                <w:sz w:val="21"/>
              </w:rPr>
              <w:t>5</w:t>
            </w:r>
            <w:r>
              <w:rPr>
                <w:color w:val="auto"/>
                <w:spacing w:val="-14"/>
                <w:sz w:val="21"/>
              </w:rPr>
              <w:t xml:space="preserve"> 倍以上</w:t>
            </w:r>
          </w:p>
          <w:p w14:paraId="1277C232">
            <w:pPr>
              <w:pStyle w:val="8"/>
              <w:spacing w:before="5"/>
              <w:ind w:left="108"/>
              <w:jc w:val="both"/>
              <w:rPr>
                <w:color w:val="auto"/>
                <w:sz w:val="21"/>
              </w:rPr>
            </w:pPr>
            <w:r>
              <w:rPr>
                <w:color w:val="auto"/>
                <w:sz w:val="21"/>
              </w:rPr>
              <w:t>9.5 倍以下罚款。</w:t>
            </w:r>
          </w:p>
        </w:tc>
        <w:tc>
          <w:tcPr>
            <w:tcW w:w="2717" w:type="dxa"/>
            <w:vAlign w:val="top"/>
          </w:tcPr>
          <w:p w14:paraId="767BF30F">
            <w:pPr>
              <w:pStyle w:val="8"/>
              <w:spacing w:before="171"/>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28679173">
            <w:pPr>
              <w:pStyle w:val="8"/>
              <w:spacing w:before="3"/>
              <w:ind w:left="108"/>
              <w:jc w:val="both"/>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w:t>
            </w:r>
          </w:p>
          <w:p w14:paraId="66F65869">
            <w:pPr>
              <w:pStyle w:val="8"/>
              <w:spacing w:before="4"/>
              <w:ind w:left="108"/>
              <w:jc w:val="both"/>
              <w:rPr>
                <w:color w:val="auto"/>
                <w:sz w:val="21"/>
              </w:rPr>
            </w:pPr>
            <w:r>
              <w:rPr>
                <w:color w:val="auto"/>
                <w:spacing w:val="-11"/>
                <w:sz w:val="21"/>
              </w:rPr>
              <w:t xml:space="preserve">下罚款；货值金额 </w:t>
            </w:r>
            <w:r>
              <w:rPr>
                <w:color w:val="auto"/>
                <w:sz w:val="21"/>
              </w:rPr>
              <w:t>1</w:t>
            </w:r>
            <w:r>
              <w:rPr>
                <w:color w:val="auto"/>
                <w:spacing w:val="-14"/>
                <w:sz w:val="21"/>
              </w:rPr>
              <w:t xml:space="preserve"> 万元以</w:t>
            </w:r>
          </w:p>
          <w:p w14:paraId="3328D989">
            <w:pPr>
              <w:pStyle w:val="8"/>
              <w:spacing w:before="2"/>
              <w:ind w:left="108"/>
              <w:jc w:val="both"/>
              <w:rPr>
                <w:color w:val="auto"/>
                <w:sz w:val="21"/>
              </w:rPr>
            </w:pPr>
            <w:r>
              <w:rPr>
                <w:color w:val="auto"/>
                <w:spacing w:val="-11"/>
                <w:sz w:val="21"/>
              </w:rPr>
              <w:t xml:space="preserve">上的，并处货值金额 </w:t>
            </w:r>
            <w:r>
              <w:rPr>
                <w:color w:val="auto"/>
                <w:sz w:val="21"/>
              </w:rPr>
              <w:t>9.5</w:t>
            </w:r>
            <w:r>
              <w:rPr>
                <w:color w:val="auto"/>
                <w:spacing w:val="-24"/>
                <w:sz w:val="21"/>
              </w:rPr>
              <w:t xml:space="preserve"> 倍</w:t>
            </w:r>
          </w:p>
          <w:p w14:paraId="20E430B0">
            <w:pPr>
              <w:pStyle w:val="8"/>
              <w:spacing w:before="5"/>
              <w:ind w:left="108"/>
              <w:jc w:val="both"/>
              <w:rPr>
                <w:color w:val="auto"/>
                <w:sz w:val="21"/>
              </w:rPr>
            </w:pPr>
            <w:r>
              <w:rPr>
                <w:color w:val="auto"/>
                <w:sz w:val="21"/>
              </w:rPr>
              <w:t>以上 15.5 款。</w:t>
            </w:r>
          </w:p>
        </w:tc>
        <w:tc>
          <w:tcPr>
            <w:tcW w:w="3900" w:type="dxa"/>
            <w:vAlign w:val="top"/>
          </w:tcPr>
          <w:p w14:paraId="043620F9">
            <w:pPr>
              <w:pStyle w:val="8"/>
              <w:spacing w:before="7"/>
              <w:jc w:val="both"/>
              <w:rPr>
                <w:rFonts w:ascii="Times New Roman"/>
                <w:color w:val="auto"/>
                <w:sz w:val="26"/>
              </w:rPr>
            </w:pPr>
          </w:p>
          <w:p w14:paraId="0CB6D720">
            <w:pPr>
              <w:pStyle w:val="8"/>
              <w:ind w:left="106"/>
              <w:jc w:val="both"/>
              <w:rPr>
                <w:color w:val="auto"/>
                <w:sz w:val="21"/>
              </w:rPr>
            </w:pPr>
            <w:r>
              <w:rPr>
                <w:color w:val="auto"/>
                <w:spacing w:val="-9"/>
                <w:sz w:val="21"/>
              </w:rPr>
              <w:t xml:space="preserve">货值金额不足 </w:t>
            </w:r>
            <w:r>
              <w:rPr>
                <w:color w:val="auto"/>
                <w:sz w:val="21"/>
              </w:rPr>
              <w:t>1</w:t>
            </w:r>
            <w:r>
              <w:rPr>
                <w:color w:val="auto"/>
                <w:spacing w:val="-27"/>
                <w:sz w:val="21"/>
              </w:rPr>
              <w:t xml:space="preserve"> 万元的，并处 </w:t>
            </w:r>
            <w:r>
              <w:rPr>
                <w:color w:val="auto"/>
                <w:sz w:val="21"/>
              </w:rPr>
              <w:t>3.8</w:t>
            </w:r>
            <w:r>
              <w:rPr>
                <w:color w:val="auto"/>
                <w:spacing w:val="-14"/>
                <w:sz w:val="21"/>
              </w:rPr>
              <w:t xml:space="preserve"> 万元以</w:t>
            </w:r>
          </w:p>
          <w:p w14:paraId="1F6E3E49">
            <w:pPr>
              <w:pStyle w:val="8"/>
              <w:spacing w:before="4"/>
              <w:ind w:left="106"/>
              <w:jc w:val="both"/>
              <w:rPr>
                <w:color w:val="auto"/>
                <w:sz w:val="21"/>
              </w:rPr>
            </w:pPr>
            <w:r>
              <w:rPr>
                <w:color w:val="auto"/>
                <w:spacing w:val="-24"/>
                <w:sz w:val="21"/>
              </w:rPr>
              <w:t xml:space="preserve">上 </w:t>
            </w:r>
            <w:r>
              <w:rPr>
                <w:color w:val="auto"/>
                <w:sz w:val="21"/>
              </w:rPr>
              <w:t>5</w:t>
            </w:r>
            <w:r>
              <w:rPr>
                <w:color w:val="auto"/>
                <w:spacing w:val="-20"/>
                <w:sz w:val="21"/>
              </w:rPr>
              <w:t xml:space="preserve"> 万元以下罚款；货值金额 </w:t>
            </w:r>
            <w:r>
              <w:rPr>
                <w:color w:val="auto"/>
                <w:sz w:val="21"/>
              </w:rPr>
              <w:t>1</w:t>
            </w:r>
            <w:r>
              <w:rPr>
                <w:color w:val="auto"/>
                <w:spacing w:val="-12"/>
                <w:sz w:val="21"/>
              </w:rPr>
              <w:t xml:space="preserve"> 万元以上</w:t>
            </w:r>
          </w:p>
          <w:p w14:paraId="4D3CD73D">
            <w:pPr>
              <w:pStyle w:val="8"/>
              <w:spacing w:before="3" w:line="244" w:lineRule="auto"/>
              <w:ind w:left="106" w:right="94"/>
              <w:jc w:val="both"/>
              <w:rPr>
                <w:color w:val="auto"/>
                <w:sz w:val="21"/>
              </w:rPr>
            </w:pPr>
            <w:r>
              <w:rPr>
                <w:color w:val="auto"/>
                <w:spacing w:val="-19"/>
                <w:sz w:val="21"/>
              </w:rPr>
              <w:t xml:space="preserve">的，并处货值金额 </w:t>
            </w:r>
            <w:r>
              <w:rPr>
                <w:color w:val="auto"/>
                <w:sz w:val="21"/>
              </w:rPr>
              <w:t>15.5</w:t>
            </w:r>
            <w:r>
              <w:rPr>
                <w:color w:val="auto"/>
                <w:spacing w:val="-22"/>
                <w:sz w:val="21"/>
              </w:rPr>
              <w:t xml:space="preserve"> 倍以上 </w:t>
            </w:r>
            <w:r>
              <w:rPr>
                <w:color w:val="auto"/>
                <w:sz w:val="21"/>
              </w:rPr>
              <w:t>20</w:t>
            </w:r>
            <w:r>
              <w:rPr>
                <w:color w:val="auto"/>
                <w:spacing w:val="-14"/>
                <w:sz w:val="21"/>
              </w:rPr>
              <w:t xml:space="preserve"> 倍以下罚款。</w:t>
            </w:r>
          </w:p>
        </w:tc>
      </w:tr>
      <w:tr w14:paraId="655D5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jc w:val="center"/>
        </w:trPr>
        <w:tc>
          <w:tcPr>
            <w:tcW w:w="562" w:type="dxa"/>
            <w:vMerge w:val="continue"/>
            <w:tcBorders>
              <w:top w:val="nil"/>
            </w:tcBorders>
            <w:vAlign w:val="top"/>
          </w:tcPr>
          <w:p w14:paraId="694189BF">
            <w:pPr>
              <w:jc w:val="both"/>
              <w:rPr>
                <w:color w:val="auto"/>
                <w:sz w:val="2"/>
                <w:szCs w:val="2"/>
              </w:rPr>
            </w:pPr>
          </w:p>
        </w:tc>
        <w:tc>
          <w:tcPr>
            <w:tcW w:w="727" w:type="dxa"/>
            <w:vMerge w:val="continue"/>
            <w:tcBorders>
              <w:top w:val="nil"/>
            </w:tcBorders>
            <w:vAlign w:val="top"/>
          </w:tcPr>
          <w:p w14:paraId="3D4E0E55">
            <w:pPr>
              <w:jc w:val="both"/>
              <w:rPr>
                <w:color w:val="auto"/>
                <w:sz w:val="2"/>
                <w:szCs w:val="2"/>
              </w:rPr>
            </w:pPr>
          </w:p>
        </w:tc>
        <w:tc>
          <w:tcPr>
            <w:tcW w:w="456" w:type="dxa"/>
            <w:vAlign w:val="top"/>
          </w:tcPr>
          <w:p w14:paraId="4ACE9253">
            <w:pPr>
              <w:pStyle w:val="8"/>
              <w:spacing w:before="171" w:line="242" w:lineRule="auto"/>
              <w:ind w:left="122" w:right="110"/>
              <w:jc w:val="both"/>
              <w:rPr>
                <w:b/>
                <w:color w:val="auto"/>
                <w:sz w:val="21"/>
              </w:rPr>
            </w:pPr>
            <w:r>
              <w:rPr>
                <w:b/>
                <w:color w:val="auto"/>
                <w:sz w:val="21"/>
              </w:rPr>
              <w:t>情节严重的</w:t>
            </w:r>
          </w:p>
        </w:tc>
        <w:tc>
          <w:tcPr>
            <w:tcW w:w="2715" w:type="dxa"/>
            <w:vAlign w:val="top"/>
          </w:tcPr>
          <w:p w14:paraId="1E071A63">
            <w:pPr>
              <w:pStyle w:val="8"/>
              <w:jc w:val="both"/>
              <w:rPr>
                <w:rFonts w:ascii="Times New Roman"/>
                <w:color w:val="auto"/>
                <w:sz w:val="20"/>
              </w:rPr>
            </w:pPr>
          </w:p>
        </w:tc>
        <w:tc>
          <w:tcPr>
            <w:tcW w:w="2714" w:type="dxa"/>
            <w:vAlign w:val="top"/>
          </w:tcPr>
          <w:p w14:paraId="3669CE08">
            <w:pPr>
              <w:pStyle w:val="8"/>
              <w:spacing w:before="6"/>
              <w:jc w:val="both"/>
              <w:rPr>
                <w:rFonts w:ascii="Times New Roman"/>
                <w:color w:val="auto"/>
                <w:sz w:val="26"/>
              </w:rPr>
            </w:pPr>
          </w:p>
          <w:p w14:paraId="17202BB0">
            <w:pPr>
              <w:pStyle w:val="8"/>
              <w:spacing w:before="1" w:line="242" w:lineRule="auto"/>
              <w:ind w:left="108" w:right="92"/>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0C88A7FF">
            <w:pPr>
              <w:pStyle w:val="8"/>
              <w:spacing w:before="3"/>
              <w:ind w:left="108"/>
              <w:jc w:val="both"/>
              <w:rPr>
                <w:color w:val="auto"/>
                <w:sz w:val="21"/>
              </w:rPr>
            </w:pPr>
            <w:r>
              <w:rPr>
                <w:color w:val="auto"/>
                <w:sz w:val="21"/>
              </w:rPr>
              <w:t>0.3</w:t>
            </w:r>
            <w:r>
              <w:rPr>
                <w:color w:val="auto"/>
                <w:spacing w:val="-13"/>
                <w:sz w:val="21"/>
              </w:rPr>
              <w:t xml:space="preserve"> 倍以上</w:t>
            </w:r>
            <w:r>
              <w:rPr>
                <w:color w:val="auto"/>
                <w:sz w:val="21"/>
              </w:rPr>
              <w:t>0.8</w:t>
            </w:r>
            <w:r>
              <w:rPr>
                <w:color w:val="auto"/>
                <w:spacing w:val="-16"/>
                <w:sz w:val="21"/>
              </w:rPr>
              <w:t xml:space="preserve"> 倍以下罚款。</w:t>
            </w:r>
          </w:p>
        </w:tc>
        <w:tc>
          <w:tcPr>
            <w:tcW w:w="2717" w:type="dxa"/>
            <w:vAlign w:val="top"/>
          </w:tcPr>
          <w:p w14:paraId="27281BF0">
            <w:pPr>
              <w:pStyle w:val="8"/>
              <w:spacing w:before="6"/>
              <w:jc w:val="both"/>
              <w:rPr>
                <w:rFonts w:ascii="Times New Roman"/>
                <w:color w:val="auto"/>
                <w:sz w:val="26"/>
              </w:rPr>
            </w:pPr>
          </w:p>
          <w:p w14:paraId="5F04A4C9">
            <w:pPr>
              <w:pStyle w:val="8"/>
              <w:spacing w:before="1" w:line="242" w:lineRule="auto"/>
              <w:ind w:left="108" w:right="95"/>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615D5205">
            <w:pPr>
              <w:pStyle w:val="8"/>
              <w:spacing w:before="3"/>
              <w:ind w:left="108"/>
              <w:jc w:val="both"/>
              <w:rPr>
                <w:color w:val="auto"/>
                <w:sz w:val="21"/>
              </w:rPr>
            </w:pPr>
            <w:r>
              <w:rPr>
                <w:color w:val="auto"/>
                <w:sz w:val="21"/>
              </w:rPr>
              <w:t>0.8</w:t>
            </w:r>
            <w:r>
              <w:rPr>
                <w:color w:val="auto"/>
                <w:spacing w:val="-13"/>
                <w:sz w:val="21"/>
              </w:rPr>
              <w:t xml:space="preserve"> 倍以上</w:t>
            </w:r>
            <w:r>
              <w:rPr>
                <w:color w:val="auto"/>
                <w:sz w:val="21"/>
              </w:rPr>
              <w:t>1.</w:t>
            </w:r>
            <w:r>
              <w:rPr>
                <w:rFonts w:hint="eastAsia"/>
                <w:color w:val="auto"/>
                <w:sz w:val="21"/>
                <w:lang w:val="en-US" w:eastAsia="zh-CN"/>
              </w:rPr>
              <w:t>49</w:t>
            </w:r>
            <w:r>
              <w:rPr>
                <w:color w:val="auto"/>
                <w:spacing w:val="-16"/>
                <w:sz w:val="21"/>
              </w:rPr>
              <w:t xml:space="preserve"> 倍以下罚款。</w:t>
            </w:r>
          </w:p>
        </w:tc>
        <w:tc>
          <w:tcPr>
            <w:tcW w:w="3900" w:type="dxa"/>
            <w:vAlign w:val="top"/>
          </w:tcPr>
          <w:p w14:paraId="50076E09">
            <w:pPr>
              <w:pStyle w:val="8"/>
              <w:jc w:val="both"/>
              <w:rPr>
                <w:rFonts w:ascii="Times New Roman"/>
                <w:color w:val="auto"/>
                <w:sz w:val="20"/>
              </w:rPr>
            </w:pPr>
          </w:p>
          <w:p w14:paraId="1E4245BC">
            <w:pPr>
              <w:pStyle w:val="8"/>
              <w:spacing w:before="5"/>
              <w:jc w:val="both"/>
              <w:rPr>
                <w:rFonts w:ascii="Times New Roman"/>
                <w:color w:val="auto"/>
                <w:sz w:val="18"/>
              </w:rPr>
            </w:pPr>
          </w:p>
          <w:p w14:paraId="0681D977">
            <w:pPr>
              <w:pStyle w:val="8"/>
              <w:spacing w:line="244" w:lineRule="auto"/>
              <w:ind w:left="106" w:right="92"/>
              <w:jc w:val="both"/>
              <w:rPr>
                <w:color w:val="auto"/>
                <w:sz w:val="21"/>
              </w:rPr>
            </w:pPr>
            <w:r>
              <w:rPr>
                <w:color w:val="auto"/>
                <w:spacing w:val="-13"/>
                <w:sz w:val="21"/>
              </w:rPr>
              <w:t>对法定代表人、主要负责人、直接负责的</w:t>
            </w:r>
            <w:r>
              <w:rPr>
                <w:color w:val="auto"/>
                <w:spacing w:val="17"/>
                <w:sz w:val="21"/>
              </w:rPr>
              <w:t>主管人员和其他责任人员处所获收入</w:t>
            </w:r>
          </w:p>
          <w:p w14:paraId="438BAAB1">
            <w:pPr>
              <w:pStyle w:val="8"/>
              <w:spacing w:line="265" w:lineRule="exact"/>
              <w:ind w:left="106"/>
              <w:jc w:val="both"/>
              <w:rPr>
                <w:color w:val="auto"/>
                <w:sz w:val="21"/>
              </w:rPr>
            </w:pPr>
            <w:r>
              <w:rPr>
                <w:color w:val="auto"/>
                <w:sz w:val="21"/>
              </w:rPr>
              <w:t>1.</w:t>
            </w:r>
            <w:r>
              <w:rPr>
                <w:rFonts w:hint="eastAsia"/>
                <w:color w:val="auto"/>
                <w:sz w:val="21"/>
                <w:lang w:val="en-US" w:eastAsia="zh-CN"/>
              </w:rPr>
              <w:t>49</w:t>
            </w:r>
            <w:r>
              <w:rPr>
                <w:color w:val="auto"/>
                <w:sz w:val="21"/>
              </w:rPr>
              <w:t xml:space="preserve"> 倍以上 2 倍以下罚款。</w:t>
            </w:r>
          </w:p>
        </w:tc>
      </w:tr>
    </w:tbl>
    <w:p w14:paraId="152969DD">
      <w:pPr>
        <w:pStyle w:val="4"/>
        <w:jc w:val="both"/>
        <w:rPr>
          <w:rFonts w:ascii="Times New Roman"/>
          <w:color w:val="auto"/>
          <w:sz w:val="20"/>
        </w:rPr>
      </w:pPr>
    </w:p>
    <w:p w14:paraId="35C7B6F8">
      <w:pPr>
        <w:pStyle w:val="4"/>
        <w:jc w:val="both"/>
        <w:rPr>
          <w:rFonts w:ascii="Times New Roman"/>
          <w:color w:val="auto"/>
          <w:sz w:val="20"/>
        </w:rPr>
      </w:pPr>
    </w:p>
    <w:p w14:paraId="6644103E">
      <w:pPr>
        <w:pStyle w:val="4"/>
        <w:jc w:val="both"/>
        <w:rPr>
          <w:rFonts w:ascii="Times New Roman"/>
          <w:color w:val="auto"/>
          <w:sz w:val="20"/>
        </w:rPr>
      </w:pPr>
    </w:p>
    <w:tbl>
      <w:tblPr>
        <w:tblStyle w:val="6"/>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18"/>
        <w:gridCol w:w="466"/>
        <w:gridCol w:w="2715"/>
        <w:gridCol w:w="2714"/>
        <w:gridCol w:w="2717"/>
        <w:gridCol w:w="3900"/>
      </w:tblGrid>
      <w:tr w14:paraId="3C324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restart"/>
            <w:vAlign w:val="top"/>
          </w:tcPr>
          <w:p w14:paraId="035B3985">
            <w:pPr>
              <w:pStyle w:val="8"/>
              <w:jc w:val="both"/>
              <w:rPr>
                <w:rFonts w:ascii="Times New Roman"/>
                <w:color w:val="auto"/>
                <w:sz w:val="20"/>
              </w:rPr>
            </w:pPr>
          </w:p>
          <w:p w14:paraId="0B1654CA">
            <w:pPr>
              <w:pStyle w:val="8"/>
              <w:jc w:val="both"/>
              <w:rPr>
                <w:rFonts w:ascii="Times New Roman"/>
                <w:color w:val="auto"/>
                <w:sz w:val="20"/>
              </w:rPr>
            </w:pPr>
          </w:p>
          <w:p w14:paraId="47B0EA37">
            <w:pPr>
              <w:pStyle w:val="8"/>
              <w:jc w:val="both"/>
              <w:rPr>
                <w:rFonts w:ascii="Times New Roman"/>
                <w:color w:val="auto"/>
                <w:sz w:val="20"/>
              </w:rPr>
            </w:pPr>
          </w:p>
          <w:p w14:paraId="53F9B1CD">
            <w:pPr>
              <w:pStyle w:val="8"/>
              <w:jc w:val="both"/>
              <w:rPr>
                <w:rFonts w:ascii="Times New Roman"/>
                <w:color w:val="auto"/>
                <w:sz w:val="20"/>
              </w:rPr>
            </w:pPr>
          </w:p>
          <w:p w14:paraId="7D82A323">
            <w:pPr>
              <w:pStyle w:val="8"/>
              <w:jc w:val="both"/>
              <w:rPr>
                <w:rFonts w:ascii="Times New Roman"/>
                <w:color w:val="auto"/>
                <w:sz w:val="20"/>
              </w:rPr>
            </w:pPr>
          </w:p>
          <w:p w14:paraId="5A37DEFE">
            <w:pPr>
              <w:pStyle w:val="8"/>
              <w:jc w:val="both"/>
              <w:rPr>
                <w:rFonts w:ascii="Times New Roman"/>
                <w:color w:val="auto"/>
                <w:sz w:val="20"/>
              </w:rPr>
            </w:pPr>
          </w:p>
          <w:p w14:paraId="5922EB32">
            <w:pPr>
              <w:pStyle w:val="8"/>
              <w:jc w:val="both"/>
              <w:rPr>
                <w:rFonts w:ascii="Times New Roman"/>
                <w:color w:val="auto"/>
                <w:sz w:val="20"/>
              </w:rPr>
            </w:pPr>
          </w:p>
          <w:p w14:paraId="72B97D3B">
            <w:pPr>
              <w:pStyle w:val="8"/>
              <w:jc w:val="both"/>
              <w:rPr>
                <w:rFonts w:ascii="Times New Roman"/>
                <w:color w:val="auto"/>
                <w:sz w:val="20"/>
              </w:rPr>
            </w:pPr>
          </w:p>
          <w:p w14:paraId="41D06D63">
            <w:pPr>
              <w:pStyle w:val="8"/>
              <w:jc w:val="both"/>
              <w:rPr>
                <w:rFonts w:ascii="Times New Roman"/>
                <w:color w:val="auto"/>
                <w:sz w:val="20"/>
              </w:rPr>
            </w:pPr>
          </w:p>
          <w:p w14:paraId="4B7F6DBB">
            <w:pPr>
              <w:pStyle w:val="8"/>
              <w:jc w:val="both"/>
              <w:rPr>
                <w:rFonts w:ascii="Times New Roman"/>
                <w:color w:val="auto"/>
                <w:sz w:val="20"/>
              </w:rPr>
            </w:pPr>
          </w:p>
          <w:p w14:paraId="46E56196">
            <w:pPr>
              <w:pStyle w:val="8"/>
              <w:jc w:val="both"/>
              <w:rPr>
                <w:rFonts w:ascii="Times New Roman"/>
                <w:color w:val="auto"/>
                <w:sz w:val="20"/>
              </w:rPr>
            </w:pPr>
          </w:p>
          <w:p w14:paraId="5E967DAD">
            <w:pPr>
              <w:pStyle w:val="8"/>
              <w:jc w:val="both"/>
              <w:rPr>
                <w:rFonts w:ascii="Times New Roman"/>
                <w:color w:val="auto"/>
                <w:sz w:val="20"/>
              </w:rPr>
            </w:pPr>
          </w:p>
          <w:p w14:paraId="2B3B8AAB">
            <w:pPr>
              <w:pStyle w:val="8"/>
              <w:jc w:val="both"/>
              <w:rPr>
                <w:rFonts w:ascii="Times New Roman"/>
                <w:color w:val="auto"/>
                <w:sz w:val="20"/>
              </w:rPr>
            </w:pPr>
          </w:p>
          <w:p w14:paraId="7228A24D">
            <w:pPr>
              <w:pStyle w:val="8"/>
              <w:jc w:val="both"/>
              <w:rPr>
                <w:rFonts w:ascii="Times New Roman"/>
                <w:color w:val="auto"/>
                <w:sz w:val="20"/>
              </w:rPr>
            </w:pPr>
          </w:p>
          <w:p w14:paraId="25CD1C39">
            <w:pPr>
              <w:pStyle w:val="8"/>
              <w:jc w:val="both"/>
              <w:rPr>
                <w:rFonts w:ascii="Times New Roman"/>
                <w:color w:val="auto"/>
                <w:sz w:val="20"/>
              </w:rPr>
            </w:pPr>
          </w:p>
          <w:p w14:paraId="1002CD41">
            <w:pPr>
              <w:pStyle w:val="8"/>
              <w:spacing w:before="4"/>
              <w:jc w:val="both"/>
              <w:rPr>
                <w:rFonts w:ascii="Times New Roman"/>
                <w:color w:val="auto"/>
                <w:sz w:val="18"/>
              </w:rPr>
            </w:pPr>
          </w:p>
          <w:p w14:paraId="63F6A71E">
            <w:pPr>
              <w:pStyle w:val="8"/>
              <w:spacing w:before="1"/>
              <w:ind w:left="9"/>
              <w:jc w:val="center"/>
              <w:rPr>
                <w:b/>
                <w:color w:val="auto"/>
                <w:sz w:val="21"/>
              </w:rPr>
            </w:pPr>
            <w:r>
              <w:rPr>
                <w:b/>
                <w:color w:val="auto"/>
                <w:w w:val="99"/>
                <w:sz w:val="21"/>
              </w:rPr>
              <w:t>5</w:t>
            </w:r>
          </w:p>
        </w:tc>
        <w:tc>
          <w:tcPr>
            <w:tcW w:w="1184" w:type="dxa"/>
            <w:gridSpan w:val="2"/>
            <w:vAlign w:val="top"/>
          </w:tcPr>
          <w:p w14:paraId="4F960F73">
            <w:pPr>
              <w:pStyle w:val="8"/>
              <w:spacing w:before="3"/>
              <w:jc w:val="both"/>
              <w:rPr>
                <w:rFonts w:ascii="Times New Roman"/>
                <w:color w:val="auto"/>
                <w:sz w:val="20"/>
              </w:rPr>
            </w:pPr>
          </w:p>
          <w:p w14:paraId="38F8FF88">
            <w:pPr>
              <w:pStyle w:val="8"/>
              <w:spacing w:before="1"/>
              <w:ind w:left="170"/>
              <w:jc w:val="both"/>
              <w:rPr>
                <w:b/>
                <w:color w:val="auto"/>
                <w:sz w:val="21"/>
              </w:rPr>
            </w:pPr>
            <w:r>
              <w:rPr>
                <w:b/>
                <w:color w:val="auto"/>
                <w:sz w:val="21"/>
              </w:rPr>
              <w:t>违法行为</w:t>
            </w:r>
          </w:p>
        </w:tc>
        <w:tc>
          <w:tcPr>
            <w:tcW w:w="12046" w:type="dxa"/>
            <w:gridSpan w:val="4"/>
            <w:vAlign w:val="top"/>
          </w:tcPr>
          <w:p w14:paraId="774D6D35">
            <w:pPr>
              <w:pStyle w:val="8"/>
              <w:spacing w:before="3"/>
              <w:jc w:val="both"/>
              <w:rPr>
                <w:rFonts w:ascii="Times New Roman"/>
                <w:color w:val="auto"/>
                <w:sz w:val="20"/>
              </w:rPr>
            </w:pPr>
          </w:p>
          <w:p w14:paraId="59C38370">
            <w:pPr>
              <w:pStyle w:val="8"/>
              <w:spacing w:before="1"/>
              <w:ind w:left="527"/>
              <w:jc w:val="both"/>
              <w:rPr>
                <w:color w:val="auto"/>
                <w:sz w:val="21"/>
              </w:rPr>
            </w:pPr>
            <w:r>
              <w:rPr>
                <w:color w:val="auto"/>
                <w:sz w:val="21"/>
              </w:rPr>
              <w:t>备案时提供虚假资料的</w:t>
            </w:r>
          </w:p>
        </w:tc>
      </w:tr>
      <w:tr w14:paraId="12602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562" w:type="dxa"/>
            <w:vMerge w:val="continue"/>
            <w:tcBorders>
              <w:top w:val="nil"/>
            </w:tcBorders>
            <w:vAlign w:val="top"/>
          </w:tcPr>
          <w:p w14:paraId="02E798D0">
            <w:pPr>
              <w:jc w:val="both"/>
              <w:rPr>
                <w:color w:val="auto"/>
                <w:sz w:val="2"/>
                <w:szCs w:val="2"/>
              </w:rPr>
            </w:pPr>
          </w:p>
        </w:tc>
        <w:tc>
          <w:tcPr>
            <w:tcW w:w="1184" w:type="dxa"/>
            <w:gridSpan w:val="2"/>
            <w:vAlign w:val="top"/>
          </w:tcPr>
          <w:p w14:paraId="44DDEBE4">
            <w:pPr>
              <w:pStyle w:val="8"/>
              <w:jc w:val="both"/>
              <w:rPr>
                <w:rFonts w:ascii="Times New Roman"/>
                <w:color w:val="auto"/>
                <w:sz w:val="20"/>
              </w:rPr>
            </w:pPr>
          </w:p>
          <w:p w14:paraId="6DF0DE25">
            <w:pPr>
              <w:pStyle w:val="8"/>
              <w:jc w:val="both"/>
              <w:rPr>
                <w:rFonts w:ascii="Times New Roman"/>
                <w:color w:val="auto"/>
                <w:sz w:val="20"/>
              </w:rPr>
            </w:pPr>
          </w:p>
          <w:p w14:paraId="032BE711">
            <w:pPr>
              <w:pStyle w:val="8"/>
              <w:spacing w:before="3"/>
              <w:jc w:val="both"/>
              <w:rPr>
                <w:rFonts w:ascii="Times New Roman"/>
                <w:color w:val="auto"/>
                <w:sz w:val="22"/>
              </w:rPr>
            </w:pPr>
          </w:p>
          <w:p w14:paraId="6D07D846">
            <w:pPr>
              <w:pStyle w:val="8"/>
              <w:ind w:left="170"/>
              <w:jc w:val="both"/>
              <w:rPr>
                <w:b/>
                <w:color w:val="auto"/>
                <w:sz w:val="21"/>
              </w:rPr>
            </w:pPr>
            <w:r>
              <w:rPr>
                <w:b/>
                <w:color w:val="auto"/>
                <w:sz w:val="21"/>
              </w:rPr>
              <w:t>处罚依据</w:t>
            </w:r>
          </w:p>
        </w:tc>
        <w:tc>
          <w:tcPr>
            <w:tcW w:w="12046" w:type="dxa"/>
            <w:gridSpan w:val="4"/>
            <w:vAlign w:val="top"/>
          </w:tcPr>
          <w:p w14:paraId="3833EB24">
            <w:pPr>
              <w:jc w:val="both"/>
              <w:rPr>
                <w:color w:val="auto"/>
                <w:sz w:val="21"/>
              </w:rPr>
            </w:pPr>
            <w:r>
              <w:rPr>
                <w:rFonts w:ascii="仿宋" w:hAnsi="仿宋" w:eastAsia="仿宋" w:cs="仿宋"/>
                <w:color w:val="auto"/>
                <w:spacing w:val="-6"/>
                <w:kern w:val="2"/>
                <w:sz w:val="21"/>
                <w:szCs w:val="22"/>
                <w:lang w:val="zh-CN" w:eastAsia="zh-CN" w:bidi="zh-CN"/>
              </w:rPr>
              <w:t>根据《医疗器械监督管理条例》第八十五条规定，由负责药品监督管理的部门向社会公告备案单位和产品名称，没收违法所得、违法生产经营的医疗器械；违法生产经营的医疗器械货值金额不足 1 万元的，并处 2 万元以上 5 万元以下罚款；货值金额 1万元以上的，并处货值金额 5 倍以上 20 倍以下罚款；情节严重的，责令停产停业，对违法单位的法定代表人、主要负责人、直接负责的主管人员和其他责任人员，没收违法行为发生期间自本单位所获收入，并处所获收入 30%以上 3 倍以下罚款，10 年内禁止其从事医疗器械生产经营活动。</w:t>
            </w:r>
          </w:p>
        </w:tc>
      </w:tr>
      <w:tr w14:paraId="15BEB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continue"/>
            <w:tcBorders>
              <w:top w:val="nil"/>
            </w:tcBorders>
            <w:vAlign w:val="top"/>
          </w:tcPr>
          <w:p w14:paraId="2E1B1FE9">
            <w:pPr>
              <w:jc w:val="both"/>
              <w:rPr>
                <w:color w:val="auto"/>
                <w:sz w:val="2"/>
                <w:szCs w:val="2"/>
              </w:rPr>
            </w:pPr>
          </w:p>
        </w:tc>
        <w:tc>
          <w:tcPr>
            <w:tcW w:w="1184" w:type="dxa"/>
            <w:gridSpan w:val="2"/>
            <w:vAlign w:val="top"/>
          </w:tcPr>
          <w:p w14:paraId="30EAA93F">
            <w:pPr>
              <w:pStyle w:val="8"/>
              <w:spacing w:before="150"/>
              <w:ind w:left="170"/>
              <w:jc w:val="both"/>
              <w:rPr>
                <w:b/>
                <w:color w:val="auto"/>
                <w:sz w:val="21"/>
              </w:rPr>
            </w:pPr>
            <w:r>
              <w:rPr>
                <w:b/>
                <w:color w:val="auto"/>
                <w:sz w:val="21"/>
              </w:rPr>
              <w:t>裁量等级</w:t>
            </w:r>
          </w:p>
        </w:tc>
        <w:tc>
          <w:tcPr>
            <w:tcW w:w="2715" w:type="dxa"/>
            <w:vAlign w:val="top"/>
          </w:tcPr>
          <w:p w14:paraId="7A92BDE7">
            <w:pPr>
              <w:pStyle w:val="8"/>
              <w:spacing w:before="150"/>
              <w:ind w:left="107"/>
              <w:jc w:val="both"/>
              <w:rPr>
                <w:b/>
                <w:color w:val="auto"/>
                <w:sz w:val="21"/>
              </w:rPr>
            </w:pPr>
            <w:r>
              <w:rPr>
                <w:b/>
                <w:color w:val="auto"/>
                <w:sz w:val="21"/>
              </w:rPr>
              <w:t>减轻</w:t>
            </w:r>
          </w:p>
        </w:tc>
        <w:tc>
          <w:tcPr>
            <w:tcW w:w="2714" w:type="dxa"/>
            <w:vAlign w:val="top"/>
          </w:tcPr>
          <w:p w14:paraId="541034BD">
            <w:pPr>
              <w:pStyle w:val="8"/>
              <w:spacing w:before="150"/>
              <w:ind w:left="107"/>
              <w:jc w:val="both"/>
              <w:rPr>
                <w:b/>
                <w:color w:val="auto"/>
                <w:sz w:val="21"/>
              </w:rPr>
            </w:pPr>
            <w:r>
              <w:rPr>
                <w:b/>
                <w:color w:val="auto"/>
                <w:sz w:val="21"/>
              </w:rPr>
              <w:t>从轻</w:t>
            </w:r>
          </w:p>
        </w:tc>
        <w:tc>
          <w:tcPr>
            <w:tcW w:w="2717" w:type="dxa"/>
            <w:vAlign w:val="top"/>
          </w:tcPr>
          <w:p w14:paraId="29EF63AC">
            <w:pPr>
              <w:pStyle w:val="8"/>
              <w:spacing w:before="150"/>
              <w:ind w:left="107"/>
              <w:jc w:val="both"/>
              <w:rPr>
                <w:b/>
                <w:color w:val="auto"/>
                <w:sz w:val="21"/>
              </w:rPr>
            </w:pPr>
            <w:r>
              <w:rPr>
                <w:b/>
                <w:color w:val="auto"/>
                <w:sz w:val="21"/>
              </w:rPr>
              <w:t>一般</w:t>
            </w:r>
          </w:p>
        </w:tc>
        <w:tc>
          <w:tcPr>
            <w:tcW w:w="3900" w:type="dxa"/>
            <w:vAlign w:val="top"/>
          </w:tcPr>
          <w:p w14:paraId="0287B144">
            <w:pPr>
              <w:pStyle w:val="8"/>
              <w:spacing w:before="150"/>
              <w:ind w:left="105"/>
              <w:jc w:val="both"/>
              <w:rPr>
                <w:b/>
                <w:color w:val="auto"/>
                <w:sz w:val="21"/>
              </w:rPr>
            </w:pPr>
            <w:r>
              <w:rPr>
                <w:b/>
                <w:color w:val="auto"/>
                <w:sz w:val="21"/>
              </w:rPr>
              <w:t>从重</w:t>
            </w:r>
          </w:p>
        </w:tc>
      </w:tr>
      <w:tr w14:paraId="40153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0295D5EB">
            <w:pPr>
              <w:jc w:val="both"/>
              <w:rPr>
                <w:color w:val="auto"/>
                <w:sz w:val="2"/>
                <w:szCs w:val="2"/>
              </w:rPr>
            </w:pPr>
          </w:p>
        </w:tc>
        <w:tc>
          <w:tcPr>
            <w:tcW w:w="1184" w:type="dxa"/>
            <w:gridSpan w:val="2"/>
            <w:vAlign w:val="top"/>
          </w:tcPr>
          <w:p w14:paraId="220D8759">
            <w:pPr>
              <w:pStyle w:val="8"/>
              <w:spacing w:before="3"/>
              <w:jc w:val="both"/>
              <w:rPr>
                <w:rFonts w:ascii="Times New Roman"/>
                <w:color w:val="auto"/>
                <w:sz w:val="20"/>
              </w:rPr>
            </w:pPr>
          </w:p>
          <w:p w14:paraId="606DD148">
            <w:pPr>
              <w:pStyle w:val="8"/>
              <w:spacing w:before="1"/>
              <w:ind w:left="170"/>
              <w:jc w:val="both"/>
              <w:rPr>
                <w:b/>
                <w:color w:val="auto"/>
                <w:sz w:val="21"/>
              </w:rPr>
            </w:pPr>
            <w:r>
              <w:rPr>
                <w:b/>
                <w:color w:val="auto"/>
                <w:sz w:val="21"/>
              </w:rPr>
              <w:t>裁量情节</w:t>
            </w:r>
          </w:p>
        </w:tc>
        <w:tc>
          <w:tcPr>
            <w:tcW w:w="2715" w:type="dxa"/>
            <w:vAlign w:val="top"/>
          </w:tcPr>
          <w:p w14:paraId="3609DAFB">
            <w:pPr>
              <w:pStyle w:val="8"/>
              <w:spacing w:before="97" w:line="242" w:lineRule="auto"/>
              <w:ind w:left="107" w:right="98"/>
              <w:jc w:val="both"/>
              <w:rPr>
                <w:color w:val="auto"/>
                <w:sz w:val="21"/>
              </w:rPr>
            </w:pPr>
            <w:r>
              <w:rPr>
                <w:color w:val="auto"/>
                <w:sz w:val="21"/>
              </w:rPr>
              <w:t>符合裁量规定减轻行政处罚情形的。</w:t>
            </w:r>
          </w:p>
        </w:tc>
        <w:tc>
          <w:tcPr>
            <w:tcW w:w="2714" w:type="dxa"/>
            <w:vAlign w:val="top"/>
          </w:tcPr>
          <w:p w14:paraId="409006FA">
            <w:pPr>
              <w:pStyle w:val="8"/>
              <w:spacing w:before="97" w:line="242" w:lineRule="auto"/>
              <w:ind w:left="107" w:right="95"/>
              <w:jc w:val="both"/>
              <w:rPr>
                <w:color w:val="auto"/>
                <w:sz w:val="21"/>
              </w:rPr>
            </w:pPr>
            <w:r>
              <w:rPr>
                <w:color w:val="auto"/>
                <w:sz w:val="21"/>
              </w:rPr>
              <w:t>符合裁量规定从轻行政处罚情形的。</w:t>
            </w:r>
          </w:p>
        </w:tc>
        <w:tc>
          <w:tcPr>
            <w:tcW w:w="2717" w:type="dxa"/>
            <w:vAlign w:val="top"/>
          </w:tcPr>
          <w:p w14:paraId="4864C03A">
            <w:pPr>
              <w:pStyle w:val="8"/>
              <w:spacing w:before="97" w:line="242" w:lineRule="auto"/>
              <w:ind w:left="107" w:right="98"/>
              <w:jc w:val="both"/>
              <w:rPr>
                <w:color w:val="auto"/>
                <w:sz w:val="21"/>
              </w:rPr>
            </w:pPr>
            <w:r>
              <w:rPr>
                <w:color w:val="auto"/>
                <w:sz w:val="21"/>
              </w:rPr>
              <w:t>符合裁量规定一般行政处罚情形的。</w:t>
            </w:r>
          </w:p>
        </w:tc>
        <w:tc>
          <w:tcPr>
            <w:tcW w:w="3900" w:type="dxa"/>
            <w:vAlign w:val="top"/>
          </w:tcPr>
          <w:p w14:paraId="2D2E6CB5">
            <w:pPr>
              <w:pStyle w:val="8"/>
              <w:spacing w:before="3"/>
              <w:jc w:val="both"/>
              <w:rPr>
                <w:rFonts w:ascii="Times New Roman"/>
                <w:color w:val="auto"/>
                <w:sz w:val="20"/>
              </w:rPr>
            </w:pPr>
          </w:p>
          <w:p w14:paraId="3209A7A9">
            <w:pPr>
              <w:pStyle w:val="8"/>
              <w:spacing w:before="1"/>
              <w:ind w:left="105"/>
              <w:jc w:val="both"/>
              <w:rPr>
                <w:color w:val="auto"/>
                <w:sz w:val="21"/>
              </w:rPr>
            </w:pPr>
            <w:r>
              <w:rPr>
                <w:color w:val="auto"/>
                <w:sz w:val="21"/>
              </w:rPr>
              <w:t>符合裁量规定从重行政处罚情形的。</w:t>
            </w:r>
          </w:p>
        </w:tc>
      </w:tr>
      <w:tr w14:paraId="619D0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3A460FBB">
            <w:pPr>
              <w:jc w:val="both"/>
              <w:rPr>
                <w:color w:val="auto"/>
                <w:sz w:val="2"/>
                <w:szCs w:val="2"/>
              </w:rPr>
            </w:pPr>
          </w:p>
        </w:tc>
        <w:tc>
          <w:tcPr>
            <w:tcW w:w="718" w:type="dxa"/>
            <w:vMerge w:val="restart"/>
            <w:vAlign w:val="top"/>
          </w:tcPr>
          <w:p w14:paraId="21132E2B">
            <w:pPr>
              <w:pStyle w:val="8"/>
              <w:jc w:val="both"/>
              <w:rPr>
                <w:rFonts w:ascii="Times New Roman"/>
                <w:color w:val="auto"/>
                <w:sz w:val="20"/>
              </w:rPr>
            </w:pPr>
          </w:p>
          <w:p w14:paraId="55F33E43">
            <w:pPr>
              <w:pStyle w:val="8"/>
              <w:jc w:val="both"/>
              <w:rPr>
                <w:rFonts w:ascii="Times New Roman"/>
                <w:color w:val="auto"/>
                <w:sz w:val="20"/>
              </w:rPr>
            </w:pPr>
          </w:p>
          <w:p w14:paraId="4F4591B2">
            <w:pPr>
              <w:pStyle w:val="8"/>
              <w:jc w:val="both"/>
              <w:rPr>
                <w:rFonts w:ascii="Times New Roman"/>
                <w:color w:val="auto"/>
                <w:sz w:val="20"/>
              </w:rPr>
            </w:pPr>
          </w:p>
          <w:p w14:paraId="6EA4E2BD">
            <w:pPr>
              <w:pStyle w:val="8"/>
              <w:jc w:val="both"/>
              <w:rPr>
                <w:rFonts w:ascii="Times New Roman"/>
                <w:color w:val="auto"/>
                <w:sz w:val="20"/>
              </w:rPr>
            </w:pPr>
          </w:p>
          <w:p w14:paraId="1F092071">
            <w:pPr>
              <w:pStyle w:val="8"/>
              <w:jc w:val="both"/>
              <w:rPr>
                <w:rFonts w:ascii="Times New Roman"/>
                <w:color w:val="auto"/>
                <w:sz w:val="20"/>
              </w:rPr>
            </w:pPr>
          </w:p>
          <w:p w14:paraId="413E914C">
            <w:pPr>
              <w:pStyle w:val="8"/>
              <w:jc w:val="both"/>
              <w:rPr>
                <w:rFonts w:ascii="Times New Roman"/>
                <w:color w:val="auto"/>
                <w:sz w:val="20"/>
              </w:rPr>
            </w:pPr>
          </w:p>
          <w:p w14:paraId="29F14DC1">
            <w:pPr>
              <w:pStyle w:val="8"/>
              <w:jc w:val="both"/>
              <w:rPr>
                <w:rFonts w:ascii="Times New Roman"/>
                <w:color w:val="auto"/>
                <w:sz w:val="22"/>
              </w:rPr>
            </w:pPr>
          </w:p>
          <w:p w14:paraId="23F28884">
            <w:pPr>
              <w:pStyle w:val="8"/>
              <w:spacing w:line="244" w:lineRule="auto"/>
              <w:ind w:left="146" w:right="137"/>
              <w:jc w:val="both"/>
              <w:rPr>
                <w:b/>
                <w:color w:val="auto"/>
                <w:sz w:val="21"/>
              </w:rPr>
            </w:pPr>
            <w:r>
              <w:rPr>
                <w:b/>
                <w:color w:val="auto"/>
                <w:sz w:val="21"/>
              </w:rPr>
              <w:t>裁量基准</w:t>
            </w:r>
          </w:p>
        </w:tc>
        <w:tc>
          <w:tcPr>
            <w:tcW w:w="466" w:type="dxa"/>
            <w:vAlign w:val="top"/>
          </w:tcPr>
          <w:p w14:paraId="5C623E23">
            <w:pPr>
              <w:pStyle w:val="8"/>
              <w:jc w:val="both"/>
              <w:rPr>
                <w:rFonts w:ascii="Times New Roman"/>
                <w:color w:val="auto"/>
                <w:sz w:val="20"/>
              </w:rPr>
            </w:pPr>
          </w:p>
          <w:p w14:paraId="4A5565AA">
            <w:pPr>
              <w:pStyle w:val="8"/>
              <w:spacing w:before="162" w:line="242" w:lineRule="auto"/>
              <w:ind w:left="126" w:right="116"/>
              <w:jc w:val="both"/>
              <w:rPr>
                <w:b/>
                <w:color w:val="auto"/>
                <w:sz w:val="21"/>
              </w:rPr>
            </w:pPr>
            <w:r>
              <w:rPr>
                <w:b/>
                <w:color w:val="auto"/>
                <w:sz w:val="21"/>
              </w:rPr>
              <w:t>一般情形</w:t>
            </w:r>
          </w:p>
        </w:tc>
        <w:tc>
          <w:tcPr>
            <w:tcW w:w="2715" w:type="dxa"/>
            <w:vAlign w:val="top"/>
          </w:tcPr>
          <w:p w14:paraId="6BAE4541">
            <w:pPr>
              <w:pStyle w:val="8"/>
              <w:jc w:val="both"/>
              <w:rPr>
                <w:rFonts w:ascii="Times New Roman"/>
                <w:color w:val="auto"/>
                <w:sz w:val="20"/>
              </w:rPr>
            </w:pPr>
          </w:p>
        </w:tc>
        <w:tc>
          <w:tcPr>
            <w:tcW w:w="2714" w:type="dxa"/>
            <w:vAlign w:val="top"/>
          </w:tcPr>
          <w:p w14:paraId="49238BCE">
            <w:pPr>
              <w:pStyle w:val="8"/>
              <w:spacing w:before="2"/>
              <w:jc w:val="both"/>
              <w:rPr>
                <w:rFonts w:ascii="Times New Roman"/>
                <w:color w:val="auto"/>
                <w:sz w:val="22"/>
              </w:rPr>
            </w:pPr>
          </w:p>
          <w:p w14:paraId="642034E3">
            <w:pPr>
              <w:pStyle w:val="8"/>
              <w:ind w:left="107"/>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5FCB89D4">
            <w:pPr>
              <w:pStyle w:val="8"/>
              <w:spacing w:before="5"/>
              <w:ind w:left="107"/>
              <w:jc w:val="both"/>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2.9</w:t>
            </w:r>
            <w:r>
              <w:rPr>
                <w:color w:val="auto"/>
                <w:spacing w:val="-13"/>
                <w:sz w:val="21"/>
              </w:rPr>
              <w:t xml:space="preserve"> 万元以下</w:t>
            </w:r>
          </w:p>
          <w:p w14:paraId="79B75CE7">
            <w:pPr>
              <w:pStyle w:val="8"/>
              <w:spacing w:before="2"/>
              <w:ind w:left="107"/>
              <w:jc w:val="both"/>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14:paraId="22479436">
            <w:pPr>
              <w:pStyle w:val="8"/>
              <w:spacing w:before="5"/>
              <w:ind w:left="107"/>
              <w:jc w:val="both"/>
              <w:rPr>
                <w:color w:val="auto"/>
                <w:sz w:val="21"/>
              </w:rPr>
            </w:pPr>
            <w:r>
              <w:rPr>
                <w:color w:val="auto"/>
                <w:spacing w:val="-11"/>
                <w:sz w:val="21"/>
              </w:rPr>
              <w:t xml:space="preserve">的，并处货值金额 </w:t>
            </w:r>
            <w:r>
              <w:rPr>
                <w:color w:val="auto"/>
                <w:sz w:val="21"/>
              </w:rPr>
              <w:t>5</w:t>
            </w:r>
            <w:r>
              <w:rPr>
                <w:color w:val="auto"/>
                <w:spacing w:val="-14"/>
                <w:sz w:val="21"/>
              </w:rPr>
              <w:t xml:space="preserve"> 倍以上</w:t>
            </w:r>
          </w:p>
          <w:p w14:paraId="5B58571A">
            <w:pPr>
              <w:pStyle w:val="8"/>
              <w:spacing w:before="2"/>
              <w:ind w:left="107"/>
              <w:jc w:val="both"/>
              <w:rPr>
                <w:color w:val="auto"/>
                <w:sz w:val="21"/>
              </w:rPr>
            </w:pPr>
            <w:r>
              <w:rPr>
                <w:color w:val="auto"/>
                <w:sz w:val="21"/>
              </w:rPr>
              <w:t>9.5 倍以下罚款。</w:t>
            </w:r>
          </w:p>
        </w:tc>
        <w:tc>
          <w:tcPr>
            <w:tcW w:w="2717" w:type="dxa"/>
            <w:vAlign w:val="top"/>
          </w:tcPr>
          <w:p w14:paraId="1C1574C3">
            <w:pPr>
              <w:pStyle w:val="8"/>
              <w:spacing w:before="2"/>
              <w:jc w:val="both"/>
              <w:rPr>
                <w:rFonts w:ascii="Times New Roman"/>
                <w:color w:val="auto"/>
                <w:sz w:val="22"/>
              </w:rPr>
            </w:pPr>
          </w:p>
          <w:p w14:paraId="1B16FCB1">
            <w:pPr>
              <w:pStyle w:val="8"/>
              <w:ind w:left="107"/>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0074B379">
            <w:pPr>
              <w:pStyle w:val="8"/>
              <w:spacing w:before="5"/>
              <w:ind w:left="107"/>
              <w:jc w:val="both"/>
              <w:rPr>
                <w:color w:val="auto"/>
                <w:sz w:val="21"/>
              </w:rPr>
            </w:pPr>
            <w:r>
              <w:rPr>
                <w:color w:val="auto"/>
                <w:spacing w:val="-28"/>
                <w:sz w:val="21"/>
              </w:rPr>
              <w:t xml:space="preserve">处 </w:t>
            </w:r>
            <w:r>
              <w:rPr>
                <w:color w:val="auto"/>
                <w:sz w:val="21"/>
              </w:rPr>
              <w:t>2.9</w:t>
            </w:r>
            <w:r>
              <w:rPr>
                <w:color w:val="auto"/>
                <w:spacing w:val="-20"/>
                <w:sz w:val="21"/>
              </w:rPr>
              <w:t xml:space="preserve"> 万元以上 </w:t>
            </w:r>
            <w:r>
              <w:rPr>
                <w:color w:val="auto"/>
                <w:sz w:val="21"/>
              </w:rPr>
              <w:t>4.1</w:t>
            </w:r>
            <w:r>
              <w:rPr>
                <w:color w:val="auto"/>
                <w:spacing w:val="-16"/>
                <w:sz w:val="21"/>
              </w:rPr>
              <w:t xml:space="preserve"> 万元以</w:t>
            </w:r>
          </w:p>
          <w:p w14:paraId="29E7E59E">
            <w:pPr>
              <w:pStyle w:val="8"/>
              <w:spacing w:before="2"/>
              <w:ind w:left="107"/>
              <w:jc w:val="both"/>
              <w:rPr>
                <w:color w:val="auto"/>
                <w:sz w:val="21"/>
              </w:rPr>
            </w:pPr>
            <w:r>
              <w:rPr>
                <w:color w:val="auto"/>
                <w:spacing w:val="-11"/>
                <w:sz w:val="21"/>
              </w:rPr>
              <w:t xml:space="preserve">下罚款；货值金额 </w:t>
            </w:r>
            <w:r>
              <w:rPr>
                <w:color w:val="auto"/>
                <w:sz w:val="21"/>
              </w:rPr>
              <w:t>1</w:t>
            </w:r>
            <w:r>
              <w:rPr>
                <w:color w:val="auto"/>
                <w:spacing w:val="-14"/>
                <w:sz w:val="21"/>
              </w:rPr>
              <w:t xml:space="preserve"> 万元以</w:t>
            </w:r>
          </w:p>
          <w:p w14:paraId="18DEE7D0">
            <w:pPr>
              <w:pStyle w:val="8"/>
              <w:spacing w:before="5"/>
              <w:ind w:left="107"/>
              <w:jc w:val="both"/>
              <w:rPr>
                <w:color w:val="auto"/>
                <w:sz w:val="21"/>
              </w:rPr>
            </w:pPr>
            <w:r>
              <w:rPr>
                <w:color w:val="auto"/>
                <w:spacing w:val="-11"/>
                <w:sz w:val="21"/>
              </w:rPr>
              <w:t xml:space="preserve">上的，并处货值金额 </w:t>
            </w:r>
            <w:r>
              <w:rPr>
                <w:color w:val="auto"/>
                <w:sz w:val="21"/>
              </w:rPr>
              <w:t>9.5</w:t>
            </w:r>
            <w:r>
              <w:rPr>
                <w:color w:val="auto"/>
                <w:spacing w:val="-24"/>
                <w:sz w:val="21"/>
              </w:rPr>
              <w:t xml:space="preserve"> 倍</w:t>
            </w:r>
          </w:p>
          <w:p w14:paraId="13E3463C">
            <w:pPr>
              <w:pStyle w:val="8"/>
              <w:spacing w:before="2"/>
              <w:ind w:left="107"/>
              <w:jc w:val="both"/>
              <w:rPr>
                <w:color w:val="auto"/>
                <w:sz w:val="21"/>
              </w:rPr>
            </w:pPr>
            <w:r>
              <w:rPr>
                <w:color w:val="auto"/>
                <w:sz w:val="21"/>
              </w:rPr>
              <w:t>以上 15.5 倍以下罚款。</w:t>
            </w:r>
          </w:p>
        </w:tc>
        <w:tc>
          <w:tcPr>
            <w:tcW w:w="3900" w:type="dxa"/>
            <w:vAlign w:val="top"/>
          </w:tcPr>
          <w:p w14:paraId="64056651">
            <w:pPr>
              <w:pStyle w:val="8"/>
              <w:jc w:val="both"/>
              <w:rPr>
                <w:rFonts w:ascii="Times New Roman"/>
                <w:color w:val="auto"/>
                <w:sz w:val="20"/>
              </w:rPr>
            </w:pPr>
          </w:p>
          <w:p w14:paraId="7886B24B">
            <w:pPr>
              <w:pStyle w:val="8"/>
              <w:spacing w:before="162"/>
              <w:ind w:left="105"/>
              <w:jc w:val="both"/>
              <w:rPr>
                <w:color w:val="auto"/>
                <w:sz w:val="21"/>
              </w:rPr>
            </w:pPr>
            <w:r>
              <w:rPr>
                <w:color w:val="auto"/>
                <w:spacing w:val="-9"/>
                <w:sz w:val="21"/>
              </w:rPr>
              <w:t xml:space="preserve">货值金额不足 </w:t>
            </w:r>
            <w:r>
              <w:rPr>
                <w:color w:val="auto"/>
                <w:sz w:val="21"/>
              </w:rPr>
              <w:t>1</w:t>
            </w:r>
            <w:r>
              <w:rPr>
                <w:color w:val="auto"/>
                <w:spacing w:val="-27"/>
                <w:sz w:val="21"/>
              </w:rPr>
              <w:t xml:space="preserve"> 万元的，并处 </w:t>
            </w:r>
            <w:r>
              <w:rPr>
                <w:color w:val="auto"/>
                <w:sz w:val="21"/>
              </w:rPr>
              <w:t>4.1</w:t>
            </w:r>
            <w:r>
              <w:rPr>
                <w:color w:val="auto"/>
                <w:spacing w:val="-14"/>
                <w:sz w:val="21"/>
              </w:rPr>
              <w:t xml:space="preserve"> 万元以</w:t>
            </w:r>
          </w:p>
          <w:p w14:paraId="1F3673AD">
            <w:pPr>
              <w:pStyle w:val="8"/>
              <w:spacing w:before="2"/>
              <w:ind w:left="105"/>
              <w:jc w:val="both"/>
              <w:rPr>
                <w:color w:val="auto"/>
                <w:sz w:val="21"/>
              </w:rPr>
            </w:pPr>
            <w:r>
              <w:rPr>
                <w:color w:val="auto"/>
                <w:spacing w:val="-24"/>
                <w:sz w:val="21"/>
              </w:rPr>
              <w:t xml:space="preserve">上 </w:t>
            </w:r>
            <w:r>
              <w:rPr>
                <w:color w:val="auto"/>
                <w:sz w:val="21"/>
              </w:rPr>
              <w:t>5</w:t>
            </w:r>
            <w:r>
              <w:rPr>
                <w:color w:val="auto"/>
                <w:spacing w:val="-20"/>
                <w:sz w:val="21"/>
              </w:rPr>
              <w:t xml:space="preserve"> 万元以下罚款；货值金额 </w:t>
            </w:r>
            <w:r>
              <w:rPr>
                <w:color w:val="auto"/>
                <w:sz w:val="21"/>
              </w:rPr>
              <w:t>1</w:t>
            </w:r>
            <w:r>
              <w:rPr>
                <w:color w:val="auto"/>
                <w:spacing w:val="-12"/>
                <w:sz w:val="21"/>
              </w:rPr>
              <w:t xml:space="preserve"> 万元以上</w:t>
            </w:r>
          </w:p>
          <w:p w14:paraId="697B2F76">
            <w:pPr>
              <w:pStyle w:val="8"/>
              <w:spacing w:before="5" w:line="242" w:lineRule="auto"/>
              <w:ind w:left="105" w:right="95"/>
              <w:jc w:val="both"/>
              <w:rPr>
                <w:color w:val="auto"/>
                <w:sz w:val="21"/>
              </w:rPr>
            </w:pPr>
            <w:r>
              <w:rPr>
                <w:color w:val="auto"/>
                <w:spacing w:val="-19"/>
                <w:sz w:val="21"/>
              </w:rPr>
              <w:t xml:space="preserve">的，并处货值金额 </w:t>
            </w:r>
            <w:r>
              <w:rPr>
                <w:color w:val="auto"/>
                <w:sz w:val="21"/>
              </w:rPr>
              <w:t>15.5</w:t>
            </w:r>
            <w:r>
              <w:rPr>
                <w:color w:val="auto"/>
                <w:spacing w:val="-22"/>
                <w:sz w:val="21"/>
              </w:rPr>
              <w:t xml:space="preserve"> 倍以上 </w:t>
            </w:r>
            <w:r>
              <w:rPr>
                <w:color w:val="auto"/>
                <w:sz w:val="21"/>
              </w:rPr>
              <w:t>20</w:t>
            </w:r>
            <w:r>
              <w:rPr>
                <w:color w:val="auto"/>
                <w:spacing w:val="-14"/>
                <w:sz w:val="21"/>
              </w:rPr>
              <w:t xml:space="preserve"> 倍以下罚款。</w:t>
            </w:r>
          </w:p>
        </w:tc>
      </w:tr>
      <w:tr w14:paraId="7D2FA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7" w:hRule="atLeast"/>
        </w:trPr>
        <w:tc>
          <w:tcPr>
            <w:tcW w:w="562" w:type="dxa"/>
            <w:vMerge w:val="continue"/>
            <w:tcBorders>
              <w:top w:val="nil"/>
            </w:tcBorders>
            <w:vAlign w:val="top"/>
          </w:tcPr>
          <w:p w14:paraId="21151C3E">
            <w:pPr>
              <w:jc w:val="both"/>
              <w:rPr>
                <w:color w:val="auto"/>
                <w:sz w:val="2"/>
                <w:szCs w:val="2"/>
              </w:rPr>
            </w:pPr>
          </w:p>
        </w:tc>
        <w:tc>
          <w:tcPr>
            <w:tcW w:w="718" w:type="dxa"/>
            <w:vMerge w:val="continue"/>
            <w:tcBorders>
              <w:top w:val="nil"/>
            </w:tcBorders>
            <w:vAlign w:val="top"/>
          </w:tcPr>
          <w:p w14:paraId="2BFDA464">
            <w:pPr>
              <w:jc w:val="both"/>
              <w:rPr>
                <w:color w:val="auto"/>
                <w:sz w:val="2"/>
                <w:szCs w:val="2"/>
              </w:rPr>
            </w:pPr>
          </w:p>
        </w:tc>
        <w:tc>
          <w:tcPr>
            <w:tcW w:w="466" w:type="dxa"/>
            <w:vAlign w:val="top"/>
          </w:tcPr>
          <w:p w14:paraId="6469546D">
            <w:pPr>
              <w:pStyle w:val="8"/>
              <w:spacing w:before="8"/>
              <w:jc w:val="both"/>
              <w:rPr>
                <w:rFonts w:ascii="Times New Roman"/>
                <w:color w:val="auto"/>
                <w:sz w:val="24"/>
              </w:rPr>
            </w:pPr>
          </w:p>
          <w:p w14:paraId="3ADF818F">
            <w:pPr>
              <w:pStyle w:val="8"/>
              <w:spacing w:line="242" w:lineRule="auto"/>
              <w:ind w:left="126" w:right="116"/>
              <w:jc w:val="both"/>
              <w:rPr>
                <w:b/>
                <w:color w:val="auto"/>
                <w:sz w:val="21"/>
              </w:rPr>
            </w:pPr>
            <w:r>
              <w:rPr>
                <w:b/>
                <w:color w:val="auto"/>
                <w:sz w:val="21"/>
              </w:rPr>
              <w:t>情节严重的</w:t>
            </w:r>
          </w:p>
        </w:tc>
        <w:tc>
          <w:tcPr>
            <w:tcW w:w="2715" w:type="dxa"/>
            <w:vAlign w:val="top"/>
          </w:tcPr>
          <w:p w14:paraId="26A26D94">
            <w:pPr>
              <w:pStyle w:val="8"/>
              <w:jc w:val="both"/>
              <w:rPr>
                <w:rFonts w:ascii="Times New Roman"/>
                <w:color w:val="auto"/>
                <w:sz w:val="20"/>
              </w:rPr>
            </w:pPr>
          </w:p>
        </w:tc>
        <w:tc>
          <w:tcPr>
            <w:tcW w:w="2714" w:type="dxa"/>
            <w:vAlign w:val="top"/>
          </w:tcPr>
          <w:p w14:paraId="7F3FB217">
            <w:pPr>
              <w:pStyle w:val="8"/>
              <w:jc w:val="both"/>
              <w:rPr>
                <w:rFonts w:ascii="Times New Roman"/>
                <w:color w:val="auto"/>
                <w:sz w:val="20"/>
              </w:rPr>
            </w:pPr>
          </w:p>
          <w:p w14:paraId="7FFBF7E7">
            <w:pPr>
              <w:pStyle w:val="8"/>
              <w:spacing w:before="7"/>
              <w:jc w:val="both"/>
              <w:rPr>
                <w:rFonts w:ascii="Times New Roman"/>
                <w:color w:val="auto"/>
                <w:sz w:val="16"/>
              </w:rPr>
            </w:pPr>
          </w:p>
          <w:p w14:paraId="31F08FBF">
            <w:pPr>
              <w:pStyle w:val="8"/>
              <w:spacing w:line="242" w:lineRule="auto"/>
              <w:ind w:left="107" w:right="93"/>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5E044581">
            <w:pPr>
              <w:pStyle w:val="8"/>
              <w:ind w:left="107"/>
              <w:jc w:val="both"/>
              <w:rPr>
                <w:color w:val="auto"/>
                <w:sz w:val="21"/>
              </w:rPr>
            </w:pPr>
            <w:r>
              <w:rPr>
                <w:color w:val="auto"/>
                <w:sz w:val="21"/>
              </w:rPr>
              <w:t>0.3</w:t>
            </w:r>
            <w:r>
              <w:rPr>
                <w:color w:val="auto"/>
                <w:spacing w:val="-13"/>
                <w:sz w:val="21"/>
              </w:rPr>
              <w:t xml:space="preserve"> 倍以上</w:t>
            </w:r>
            <w:r>
              <w:rPr>
                <w:color w:val="auto"/>
                <w:sz w:val="21"/>
              </w:rPr>
              <w:t>1.1</w:t>
            </w:r>
            <w:r>
              <w:rPr>
                <w:color w:val="auto"/>
                <w:spacing w:val="-16"/>
                <w:sz w:val="21"/>
              </w:rPr>
              <w:t xml:space="preserve"> 倍以下罚款。</w:t>
            </w:r>
          </w:p>
        </w:tc>
        <w:tc>
          <w:tcPr>
            <w:tcW w:w="2717" w:type="dxa"/>
            <w:vAlign w:val="top"/>
          </w:tcPr>
          <w:p w14:paraId="3B20D2B8">
            <w:pPr>
              <w:pStyle w:val="8"/>
              <w:jc w:val="both"/>
              <w:rPr>
                <w:rFonts w:ascii="Times New Roman"/>
                <w:color w:val="auto"/>
                <w:sz w:val="20"/>
              </w:rPr>
            </w:pPr>
          </w:p>
          <w:p w14:paraId="19F66C7C">
            <w:pPr>
              <w:pStyle w:val="8"/>
              <w:spacing w:before="7"/>
              <w:jc w:val="both"/>
              <w:rPr>
                <w:rFonts w:ascii="Times New Roman"/>
                <w:color w:val="auto"/>
                <w:sz w:val="16"/>
              </w:rPr>
            </w:pPr>
          </w:p>
          <w:p w14:paraId="3296704B">
            <w:pPr>
              <w:pStyle w:val="8"/>
              <w:spacing w:line="242" w:lineRule="auto"/>
              <w:ind w:left="107" w:right="96"/>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5CDB0E89">
            <w:pPr>
              <w:pStyle w:val="8"/>
              <w:ind w:left="107"/>
              <w:jc w:val="both"/>
              <w:rPr>
                <w:color w:val="auto"/>
                <w:sz w:val="21"/>
              </w:rPr>
            </w:pPr>
            <w:r>
              <w:rPr>
                <w:color w:val="auto"/>
                <w:sz w:val="21"/>
              </w:rPr>
              <w:t>1.1</w:t>
            </w:r>
            <w:r>
              <w:rPr>
                <w:rFonts w:hint="eastAsia"/>
                <w:color w:val="auto"/>
                <w:sz w:val="21"/>
                <w:lang w:val="en-US" w:eastAsia="zh-CN"/>
              </w:rPr>
              <w:t>1</w:t>
            </w:r>
            <w:r>
              <w:rPr>
                <w:color w:val="auto"/>
                <w:spacing w:val="-13"/>
                <w:sz w:val="21"/>
              </w:rPr>
              <w:t xml:space="preserve"> 倍以上</w:t>
            </w:r>
            <w:r>
              <w:rPr>
                <w:color w:val="auto"/>
                <w:sz w:val="21"/>
              </w:rPr>
              <w:t>2.</w:t>
            </w:r>
            <w:r>
              <w:rPr>
                <w:rFonts w:hint="eastAsia"/>
                <w:color w:val="auto"/>
                <w:sz w:val="21"/>
                <w:lang w:val="en-US" w:eastAsia="zh-CN"/>
              </w:rPr>
              <w:t>19</w:t>
            </w:r>
            <w:r>
              <w:rPr>
                <w:color w:val="auto"/>
                <w:spacing w:val="-16"/>
                <w:sz w:val="21"/>
              </w:rPr>
              <w:t>倍以下罚款。</w:t>
            </w:r>
          </w:p>
        </w:tc>
        <w:tc>
          <w:tcPr>
            <w:tcW w:w="3900" w:type="dxa"/>
            <w:vAlign w:val="top"/>
          </w:tcPr>
          <w:p w14:paraId="02FCE3DA">
            <w:pPr>
              <w:pStyle w:val="8"/>
              <w:jc w:val="both"/>
              <w:rPr>
                <w:rFonts w:ascii="Times New Roman"/>
                <w:color w:val="auto"/>
                <w:sz w:val="20"/>
              </w:rPr>
            </w:pPr>
          </w:p>
          <w:p w14:paraId="34F2058D">
            <w:pPr>
              <w:pStyle w:val="8"/>
              <w:spacing w:before="3"/>
              <w:jc w:val="both"/>
              <w:rPr>
                <w:rFonts w:ascii="Times New Roman"/>
                <w:color w:val="auto"/>
                <w:sz w:val="28"/>
              </w:rPr>
            </w:pPr>
          </w:p>
          <w:p w14:paraId="200799A3">
            <w:pPr>
              <w:pStyle w:val="8"/>
              <w:spacing w:line="244" w:lineRule="auto"/>
              <w:ind w:left="105" w:right="93"/>
              <w:jc w:val="both"/>
              <w:rPr>
                <w:color w:val="auto"/>
                <w:sz w:val="21"/>
              </w:rPr>
            </w:pPr>
            <w:r>
              <w:rPr>
                <w:color w:val="auto"/>
                <w:spacing w:val="-13"/>
                <w:sz w:val="21"/>
              </w:rPr>
              <w:t>对法定代表人、主要负责人、直接负责的</w:t>
            </w:r>
            <w:r>
              <w:rPr>
                <w:color w:val="auto"/>
                <w:spacing w:val="17"/>
                <w:sz w:val="21"/>
              </w:rPr>
              <w:t>主管人员和其他责任人员处所获收入</w:t>
            </w:r>
          </w:p>
          <w:p w14:paraId="4A92A5EF">
            <w:pPr>
              <w:pStyle w:val="8"/>
              <w:spacing w:line="265" w:lineRule="exact"/>
              <w:ind w:left="105"/>
              <w:jc w:val="both"/>
              <w:rPr>
                <w:color w:val="auto"/>
                <w:sz w:val="21"/>
              </w:rPr>
            </w:pPr>
            <w:r>
              <w:rPr>
                <w:color w:val="auto"/>
                <w:sz w:val="21"/>
              </w:rPr>
              <w:t>2.</w:t>
            </w:r>
            <w:r>
              <w:rPr>
                <w:rFonts w:hint="eastAsia"/>
                <w:color w:val="auto"/>
                <w:sz w:val="21"/>
                <w:lang w:val="en-US" w:eastAsia="zh-CN"/>
              </w:rPr>
              <w:t>19</w:t>
            </w:r>
            <w:r>
              <w:rPr>
                <w:color w:val="auto"/>
                <w:sz w:val="21"/>
              </w:rPr>
              <w:t xml:space="preserve"> 倍以上 3 倍以下罚款。</w:t>
            </w:r>
          </w:p>
        </w:tc>
      </w:tr>
    </w:tbl>
    <w:p w14:paraId="5FFDCBC9">
      <w:pPr>
        <w:spacing w:after="0" w:line="265" w:lineRule="exact"/>
        <w:jc w:val="both"/>
        <w:rPr>
          <w:color w:val="auto"/>
          <w:sz w:val="21"/>
        </w:rPr>
        <w:sectPr>
          <w:pgSz w:w="16840" w:h="11910" w:orient="landscape"/>
          <w:pgMar w:top="1100" w:right="1400" w:bottom="1760" w:left="1400" w:header="0" w:footer="1572" w:gutter="0"/>
          <w:pgNumType w:fmt="numberInDash"/>
          <w:cols w:space="720" w:num="1"/>
        </w:sectPr>
      </w:pPr>
    </w:p>
    <w:p w14:paraId="1C41F6EE">
      <w:pPr>
        <w:pStyle w:val="4"/>
        <w:jc w:val="both"/>
        <w:rPr>
          <w:rFonts w:ascii="Times New Roman"/>
          <w:color w:val="auto"/>
          <w:sz w:val="20"/>
        </w:rPr>
      </w:pPr>
    </w:p>
    <w:tbl>
      <w:tblPr>
        <w:tblStyle w:val="6"/>
        <w:tblpPr w:leftFromText="180" w:rightFromText="180" w:vertAnchor="text" w:horzAnchor="page" w:tblpX="1734" w:tblpY="62"/>
        <w:tblOverlap w:val="never"/>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67"/>
        <w:gridCol w:w="516"/>
        <w:gridCol w:w="2715"/>
        <w:gridCol w:w="2714"/>
        <w:gridCol w:w="2717"/>
        <w:gridCol w:w="3900"/>
      </w:tblGrid>
      <w:tr w14:paraId="3D8F3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9" w:hRule="atLeast"/>
        </w:trPr>
        <w:tc>
          <w:tcPr>
            <w:tcW w:w="562" w:type="dxa"/>
            <w:vMerge w:val="restart"/>
            <w:vAlign w:val="top"/>
          </w:tcPr>
          <w:p w14:paraId="0021B920">
            <w:pPr>
              <w:pStyle w:val="8"/>
              <w:jc w:val="both"/>
              <w:rPr>
                <w:rFonts w:ascii="Times New Roman"/>
                <w:color w:val="auto"/>
                <w:sz w:val="20"/>
              </w:rPr>
            </w:pPr>
          </w:p>
          <w:p w14:paraId="609376A8">
            <w:pPr>
              <w:pStyle w:val="8"/>
              <w:jc w:val="both"/>
              <w:rPr>
                <w:rFonts w:ascii="Times New Roman"/>
                <w:color w:val="auto"/>
                <w:sz w:val="20"/>
              </w:rPr>
            </w:pPr>
          </w:p>
          <w:p w14:paraId="21353A6A">
            <w:pPr>
              <w:pStyle w:val="8"/>
              <w:jc w:val="both"/>
              <w:rPr>
                <w:rFonts w:ascii="Times New Roman"/>
                <w:color w:val="auto"/>
                <w:sz w:val="20"/>
              </w:rPr>
            </w:pPr>
          </w:p>
          <w:p w14:paraId="3B3488BD">
            <w:pPr>
              <w:pStyle w:val="8"/>
              <w:jc w:val="both"/>
              <w:rPr>
                <w:rFonts w:ascii="Times New Roman"/>
                <w:color w:val="auto"/>
                <w:sz w:val="20"/>
              </w:rPr>
            </w:pPr>
          </w:p>
          <w:p w14:paraId="50BAC6B4">
            <w:pPr>
              <w:pStyle w:val="8"/>
              <w:jc w:val="both"/>
              <w:rPr>
                <w:rFonts w:ascii="Times New Roman"/>
                <w:color w:val="auto"/>
                <w:sz w:val="20"/>
              </w:rPr>
            </w:pPr>
          </w:p>
          <w:p w14:paraId="00278393">
            <w:pPr>
              <w:pStyle w:val="8"/>
              <w:jc w:val="both"/>
              <w:rPr>
                <w:rFonts w:ascii="Times New Roman"/>
                <w:color w:val="auto"/>
                <w:sz w:val="20"/>
              </w:rPr>
            </w:pPr>
          </w:p>
          <w:p w14:paraId="71B2D46C">
            <w:pPr>
              <w:pStyle w:val="8"/>
              <w:jc w:val="both"/>
              <w:rPr>
                <w:rFonts w:ascii="Times New Roman"/>
                <w:color w:val="auto"/>
                <w:sz w:val="20"/>
              </w:rPr>
            </w:pPr>
          </w:p>
          <w:p w14:paraId="23F3C373">
            <w:pPr>
              <w:pStyle w:val="8"/>
              <w:jc w:val="both"/>
              <w:rPr>
                <w:rFonts w:ascii="Times New Roman"/>
                <w:color w:val="auto"/>
                <w:sz w:val="20"/>
              </w:rPr>
            </w:pPr>
          </w:p>
          <w:p w14:paraId="7B98442A">
            <w:pPr>
              <w:pStyle w:val="8"/>
              <w:jc w:val="both"/>
              <w:rPr>
                <w:rFonts w:ascii="Times New Roman"/>
                <w:color w:val="auto"/>
                <w:sz w:val="20"/>
              </w:rPr>
            </w:pPr>
          </w:p>
          <w:p w14:paraId="7BE12FC4">
            <w:pPr>
              <w:pStyle w:val="8"/>
              <w:jc w:val="both"/>
              <w:rPr>
                <w:rFonts w:ascii="Times New Roman"/>
                <w:color w:val="auto"/>
                <w:sz w:val="20"/>
              </w:rPr>
            </w:pPr>
          </w:p>
          <w:p w14:paraId="1AF2AE1B">
            <w:pPr>
              <w:pStyle w:val="8"/>
              <w:jc w:val="both"/>
              <w:rPr>
                <w:rFonts w:ascii="Times New Roman"/>
                <w:color w:val="auto"/>
                <w:sz w:val="20"/>
              </w:rPr>
            </w:pPr>
          </w:p>
          <w:p w14:paraId="4E27AEB0">
            <w:pPr>
              <w:pStyle w:val="8"/>
              <w:jc w:val="both"/>
              <w:rPr>
                <w:rFonts w:ascii="Times New Roman"/>
                <w:color w:val="auto"/>
                <w:sz w:val="20"/>
              </w:rPr>
            </w:pPr>
          </w:p>
          <w:p w14:paraId="25B98414">
            <w:pPr>
              <w:pStyle w:val="8"/>
              <w:jc w:val="both"/>
              <w:rPr>
                <w:rFonts w:ascii="Times New Roman"/>
                <w:color w:val="auto"/>
                <w:sz w:val="20"/>
              </w:rPr>
            </w:pPr>
          </w:p>
          <w:p w14:paraId="64378053">
            <w:pPr>
              <w:pStyle w:val="8"/>
              <w:jc w:val="both"/>
              <w:rPr>
                <w:rFonts w:ascii="Times New Roman"/>
                <w:color w:val="auto"/>
                <w:sz w:val="20"/>
              </w:rPr>
            </w:pPr>
          </w:p>
          <w:p w14:paraId="3A50819C">
            <w:pPr>
              <w:pStyle w:val="8"/>
              <w:jc w:val="both"/>
              <w:rPr>
                <w:rFonts w:ascii="Times New Roman"/>
                <w:color w:val="auto"/>
                <w:sz w:val="20"/>
              </w:rPr>
            </w:pPr>
          </w:p>
          <w:p w14:paraId="1F9F0A98">
            <w:pPr>
              <w:pStyle w:val="8"/>
              <w:spacing w:before="8"/>
              <w:jc w:val="both"/>
              <w:rPr>
                <w:rFonts w:ascii="Times New Roman"/>
                <w:color w:val="auto"/>
                <w:sz w:val="21"/>
              </w:rPr>
            </w:pPr>
          </w:p>
          <w:p w14:paraId="5AF52374">
            <w:pPr>
              <w:pStyle w:val="8"/>
              <w:spacing w:before="1"/>
              <w:ind w:left="9"/>
              <w:jc w:val="center"/>
              <w:rPr>
                <w:b/>
                <w:color w:val="auto"/>
                <w:sz w:val="21"/>
              </w:rPr>
            </w:pPr>
            <w:r>
              <w:rPr>
                <w:b/>
                <w:color w:val="auto"/>
                <w:w w:val="99"/>
                <w:sz w:val="21"/>
              </w:rPr>
              <w:t>6</w:t>
            </w:r>
          </w:p>
        </w:tc>
        <w:tc>
          <w:tcPr>
            <w:tcW w:w="1183" w:type="dxa"/>
            <w:gridSpan w:val="2"/>
            <w:vAlign w:val="top"/>
          </w:tcPr>
          <w:p w14:paraId="4D3C6B18">
            <w:pPr>
              <w:pStyle w:val="8"/>
              <w:jc w:val="both"/>
              <w:rPr>
                <w:rFonts w:ascii="Times New Roman"/>
                <w:color w:val="auto"/>
                <w:sz w:val="20"/>
              </w:rPr>
            </w:pPr>
          </w:p>
          <w:p w14:paraId="6504FB34">
            <w:pPr>
              <w:pStyle w:val="8"/>
              <w:jc w:val="both"/>
              <w:rPr>
                <w:rFonts w:ascii="Times New Roman"/>
                <w:color w:val="auto"/>
                <w:sz w:val="20"/>
              </w:rPr>
            </w:pPr>
          </w:p>
          <w:p w14:paraId="363F1E64">
            <w:pPr>
              <w:pStyle w:val="8"/>
              <w:jc w:val="both"/>
              <w:rPr>
                <w:rFonts w:ascii="Times New Roman"/>
                <w:color w:val="auto"/>
                <w:sz w:val="20"/>
              </w:rPr>
            </w:pPr>
          </w:p>
          <w:p w14:paraId="082D12B9">
            <w:pPr>
              <w:pStyle w:val="8"/>
              <w:spacing w:before="1"/>
              <w:jc w:val="both"/>
              <w:rPr>
                <w:rFonts w:ascii="Times New Roman"/>
                <w:color w:val="auto"/>
                <w:sz w:val="23"/>
              </w:rPr>
            </w:pPr>
          </w:p>
          <w:p w14:paraId="0B12DFBF">
            <w:pPr>
              <w:pStyle w:val="8"/>
              <w:ind w:left="170"/>
              <w:jc w:val="both"/>
              <w:rPr>
                <w:b/>
                <w:color w:val="auto"/>
                <w:sz w:val="21"/>
              </w:rPr>
            </w:pPr>
            <w:r>
              <w:rPr>
                <w:b/>
                <w:color w:val="auto"/>
                <w:sz w:val="21"/>
              </w:rPr>
              <w:t>违法行为</w:t>
            </w:r>
          </w:p>
        </w:tc>
        <w:tc>
          <w:tcPr>
            <w:tcW w:w="12046" w:type="dxa"/>
            <w:gridSpan w:val="4"/>
            <w:vAlign w:val="top"/>
          </w:tcPr>
          <w:p w14:paraId="2B18B31F">
            <w:pPr>
              <w:pStyle w:val="8"/>
              <w:spacing w:before="1"/>
              <w:ind w:left="528"/>
              <w:jc w:val="both"/>
              <w:rPr>
                <w:color w:val="auto"/>
                <w:sz w:val="21"/>
              </w:rPr>
            </w:pPr>
            <w:r>
              <w:rPr>
                <w:color w:val="auto"/>
                <w:sz w:val="21"/>
              </w:rPr>
              <w:t>生产、经营、使用不符合强制性标准或者不符合经注册或者备案的产品技术要求的医疗器械；</w:t>
            </w:r>
          </w:p>
          <w:p w14:paraId="42920B56">
            <w:pPr>
              <w:pStyle w:val="8"/>
              <w:spacing w:before="4" w:line="242" w:lineRule="auto"/>
              <w:ind w:left="108" w:right="-15" w:firstLine="422"/>
              <w:jc w:val="both"/>
              <w:rPr>
                <w:color w:val="auto"/>
                <w:sz w:val="21"/>
              </w:rPr>
            </w:pPr>
            <w:r>
              <w:rPr>
                <w:color w:val="auto"/>
                <w:spacing w:val="-5"/>
                <w:sz w:val="21"/>
              </w:rPr>
              <w:t>未按照经注册或者备案的产品技术要求组织生产，或者未依照本条例规定建立质量管理体系并保持有效运行，影响产品安全、有效；</w:t>
            </w:r>
          </w:p>
          <w:p w14:paraId="2060F2B2">
            <w:pPr>
              <w:pStyle w:val="8"/>
              <w:spacing w:before="2"/>
              <w:ind w:left="530"/>
              <w:jc w:val="both"/>
              <w:rPr>
                <w:color w:val="auto"/>
                <w:sz w:val="21"/>
              </w:rPr>
            </w:pPr>
            <w:r>
              <w:rPr>
                <w:color w:val="auto"/>
                <w:sz w:val="21"/>
              </w:rPr>
              <w:t>经营、使用无合格证明文件、过期、失效、淘汰的医疗器械，或者使用未依法注册的医疗器械；</w:t>
            </w:r>
          </w:p>
          <w:p w14:paraId="64F23F34">
            <w:pPr>
              <w:pStyle w:val="8"/>
              <w:spacing w:before="2" w:line="244" w:lineRule="auto"/>
              <w:ind w:left="108" w:right="-15" w:firstLine="422"/>
              <w:jc w:val="both"/>
              <w:rPr>
                <w:color w:val="auto"/>
                <w:sz w:val="21"/>
              </w:rPr>
            </w:pPr>
            <w:r>
              <w:rPr>
                <w:color w:val="auto"/>
                <w:spacing w:val="-6"/>
                <w:sz w:val="21"/>
              </w:rPr>
              <w:t xml:space="preserve">在负责药品监督管理的部门责令召回后仍拒不召回，或者在负责药品监督管理的部门责令停止或者暂停生产、进口、经营后， </w:t>
            </w:r>
            <w:r>
              <w:rPr>
                <w:color w:val="auto"/>
                <w:spacing w:val="-4"/>
                <w:sz w:val="21"/>
              </w:rPr>
              <w:t>仍拒不停止生产、进口、经营医疗器械；</w:t>
            </w:r>
          </w:p>
          <w:p w14:paraId="7F208C30">
            <w:pPr>
              <w:pStyle w:val="8"/>
              <w:spacing w:line="265" w:lineRule="exact"/>
              <w:ind w:left="530"/>
              <w:jc w:val="both"/>
              <w:rPr>
                <w:color w:val="auto"/>
                <w:sz w:val="21"/>
              </w:rPr>
            </w:pPr>
            <w:r>
              <w:rPr>
                <w:color w:val="auto"/>
                <w:sz w:val="21"/>
              </w:rPr>
              <w:t>委托不具备《医疗器械监督管理条例》规定条件的企业生产医疗器械，或者未对受托生产企业的生产行为进行管理；</w:t>
            </w:r>
          </w:p>
          <w:p w14:paraId="00251704">
            <w:pPr>
              <w:pStyle w:val="8"/>
              <w:spacing w:before="5" w:line="250" w:lineRule="exact"/>
              <w:ind w:left="530"/>
              <w:jc w:val="both"/>
              <w:rPr>
                <w:color w:val="auto"/>
                <w:sz w:val="21"/>
              </w:rPr>
            </w:pPr>
            <w:r>
              <w:rPr>
                <w:color w:val="auto"/>
                <w:sz w:val="21"/>
              </w:rPr>
              <w:t>进口过期、失效、淘汰等已使用过的医疗器械。</w:t>
            </w:r>
          </w:p>
        </w:tc>
      </w:tr>
      <w:tr w14:paraId="5222F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562" w:type="dxa"/>
            <w:vMerge w:val="continue"/>
            <w:tcBorders>
              <w:top w:val="nil"/>
            </w:tcBorders>
            <w:vAlign w:val="top"/>
          </w:tcPr>
          <w:p w14:paraId="0BFC770D">
            <w:pPr>
              <w:jc w:val="both"/>
              <w:rPr>
                <w:color w:val="auto"/>
                <w:sz w:val="2"/>
                <w:szCs w:val="2"/>
              </w:rPr>
            </w:pPr>
          </w:p>
        </w:tc>
        <w:tc>
          <w:tcPr>
            <w:tcW w:w="1183" w:type="dxa"/>
            <w:gridSpan w:val="2"/>
            <w:vAlign w:val="top"/>
          </w:tcPr>
          <w:p w14:paraId="7826223A">
            <w:pPr>
              <w:pStyle w:val="8"/>
              <w:spacing w:before="1" w:line="242" w:lineRule="auto"/>
              <w:ind w:left="0" w:right="98"/>
              <w:jc w:val="both"/>
              <w:rPr>
                <w:color w:val="auto"/>
                <w:spacing w:val="-8"/>
                <w:sz w:val="21"/>
              </w:rPr>
            </w:pPr>
          </w:p>
          <w:p w14:paraId="571C683A">
            <w:pPr>
              <w:pStyle w:val="8"/>
              <w:spacing w:before="1" w:line="242" w:lineRule="auto"/>
              <w:ind w:left="0" w:right="98"/>
              <w:jc w:val="both"/>
              <w:rPr>
                <w:color w:val="auto"/>
                <w:spacing w:val="-8"/>
                <w:sz w:val="21"/>
              </w:rPr>
            </w:pPr>
          </w:p>
          <w:p w14:paraId="3960D34C">
            <w:pPr>
              <w:pStyle w:val="8"/>
              <w:spacing w:before="1" w:line="242" w:lineRule="auto"/>
              <w:ind w:left="0" w:right="98"/>
              <w:jc w:val="center"/>
              <w:rPr>
                <w:color w:val="auto"/>
                <w:spacing w:val="-8"/>
                <w:sz w:val="21"/>
              </w:rPr>
            </w:pPr>
            <w:r>
              <w:rPr>
                <w:b/>
                <w:bCs/>
                <w:color w:val="auto"/>
                <w:spacing w:val="-8"/>
                <w:sz w:val="21"/>
              </w:rPr>
              <w:t>处罚依据</w:t>
            </w:r>
          </w:p>
        </w:tc>
        <w:tc>
          <w:tcPr>
            <w:tcW w:w="12046" w:type="dxa"/>
            <w:gridSpan w:val="4"/>
            <w:vAlign w:val="top"/>
          </w:tcPr>
          <w:p w14:paraId="1BCAF108">
            <w:pPr>
              <w:pStyle w:val="8"/>
              <w:spacing w:before="1" w:line="242" w:lineRule="auto"/>
              <w:ind w:left="0" w:right="98"/>
              <w:jc w:val="both"/>
              <w:rPr>
                <w:color w:val="auto"/>
                <w:spacing w:val="-8"/>
                <w:sz w:val="21"/>
              </w:rPr>
            </w:pPr>
            <w:r>
              <w:rPr>
                <w:color w:val="auto"/>
                <w:spacing w:val="-8"/>
                <w:sz w:val="21"/>
              </w:rPr>
              <w:t>根</w:t>
            </w:r>
            <w:r>
              <w:rPr>
                <w:color w:val="auto"/>
                <w:spacing w:val="-8"/>
                <w:sz w:val="21"/>
                <w:lang w:val="zh-CN" w:eastAsia="zh-CN"/>
              </w:rPr>
              <w:t>据《医疗器械监督管理条例》第八十</w:t>
            </w:r>
            <w:r>
              <w:rPr>
                <w:rFonts w:hint="eastAsia"/>
                <w:color w:val="auto"/>
                <w:spacing w:val="-8"/>
                <w:sz w:val="21"/>
                <w:lang w:val="zh-CN" w:eastAsia="zh-CN"/>
              </w:rPr>
              <w:t>六条</w:t>
            </w:r>
            <w:r>
              <w:rPr>
                <w:color w:val="auto"/>
                <w:spacing w:val="-8"/>
                <w:sz w:val="21"/>
                <w:lang w:val="zh-CN" w:eastAsia="zh-CN"/>
              </w:rPr>
              <w:t>规定，</w:t>
            </w:r>
            <w:r>
              <w:rPr>
                <w:color w:val="auto"/>
                <w:spacing w:val="-8"/>
                <w:sz w:val="21"/>
              </w:rPr>
              <w:t>由负责药品监督管理的部门责令改正，没收违法生产经营使用的医疗器械； 违法生产经营使用的医疗器械货值金额不足 1 万元的，并处 2 万元以上 5 万元以下罚款；货值金额 1 万元以上的，并处货值金额 5倍以上 20 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 30%以上 3 倍以下罚款，10 年内禁止其从事医疗器械生产经营活动。</w:t>
            </w:r>
          </w:p>
        </w:tc>
      </w:tr>
      <w:tr w14:paraId="30E43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2" w:type="dxa"/>
            <w:vMerge w:val="continue"/>
            <w:tcBorders>
              <w:top w:val="nil"/>
            </w:tcBorders>
            <w:vAlign w:val="top"/>
          </w:tcPr>
          <w:p w14:paraId="3C5A8C5F">
            <w:pPr>
              <w:jc w:val="both"/>
              <w:rPr>
                <w:color w:val="auto"/>
                <w:sz w:val="2"/>
                <w:szCs w:val="2"/>
              </w:rPr>
            </w:pPr>
          </w:p>
        </w:tc>
        <w:tc>
          <w:tcPr>
            <w:tcW w:w="1183" w:type="dxa"/>
            <w:gridSpan w:val="2"/>
            <w:vAlign w:val="top"/>
          </w:tcPr>
          <w:p w14:paraId="2A884FAD">
            <w:pPr>
              <w:pStyle w:val="8"/>
              <w:spacing w:before="147"/>
              <w:ind w:left="170"/>
              <w:jc w:val="both"/>
              <w:rPr>
                <w:b/>
                <w:color w:val="auto"/>
                <w:sz w:val="21"/>
              </w:rPr>
            </w:pPr>
            <w:r>
              <w:rPr>
                <w:b/>
                <w:color w:val="auto"/>
                <w:sz w:val="21"/>
              </w:rPr>
              <w:t>裁量等级</w:t>
            </w:r>
          </w:p>
        </w:tc>
        <w:tc>
          <w:tcPr>
            <w:tcW w:w="2715" w:type="dxa"/>
            <w:vAlign w:val="top"/>
          </w:tcPr>
          <w:p w14:paraId="7DEE966F">
            <w:pPr>
              <w:pStyle w:val="8"/>
              <w:spacing w:before="147"/>
              <w:ind w:left="108"/>
              <w:jc w:val="both"/>
              <w:rPr>
                <w:b/>
                <w:color w:val="auto"/>
                <w:sz w:val="21"/>
              </w:rPr>
            </w:pPr>
            <w:r>
              <w:rPr>
                <w:b/>
                <w:color w:val="auto"/>
                <w:sz w:val="21"/>
              </w:rPr>
              <w:t>减轻</w:t>
            </w:r>
          </w:p>
        </w:tc>
        <w:tc>
          <w:tcPr>
            <w:tcW w:w="2714" w:type="dxa"/>
            <w:vAlign w:val="top"/>
          </w:tcPr>
          <w:p w14:paraId="2EAC8A9D">
            <w:pPr>
              <w:pStyle w:val="8"/>
              <w:spacing w:before="147"/>
              <w:ind w:left="108"/>
              <w:jc w:val="both"/>
              <w:rPr>
                <w:b/>
                <w:color w:val="auto"/>
                <w:sz w:val="21"/>
              </w:rPr>
            </w:pPr>
            <w:r>
              <w:rPr>
                <w:b/>
                <w:color w:val="auto"/>
                <w:sz w:val="21"/>
              </w:rPr>
              <w:t>从轻</w:t>
            </w:r>
          </w:p>
        </w:tc>
        <w:tc>
          <w:tcPr>
            <w:tcW w:w="2717" w:type="dxa"/>
            <w:vAlign w:val="top"/>
          </w:tcPr>
          <w:p w14:paraId="035E0EE2">
            <w:pPr>
              <w:pStyle w:val="8"/>
              <w:spacing w:before="147"/>
              <w:ind w:left="108"/>
              <w:jc w:val="both"/>
              <w:rPr>
                <w:b/>
                <w:color w:val="auto"/>
                <w:sz w:val="21"/>
              </w:rPr>
            </w:pPr>
            <w:r>
              <w:rPr>
                <w:b/>
                <w:color w:val="auto"/>
                <w:sz w:val="21"/>
              </w:rPr>
              <w:t>一般</w:t>
            </w:r>
          </w:p>
        </w:tc>
        <w:tc>
          <w:tcPr>
            <w:tcW w:w="3900" w:type="dxa"/>
            <w:vAlign w:val="top"/>
          </w:tcPr>
          <w:p w14:paraId="1790CA17">
            <w:pPr>
              <w:pStyle w:val="8"/>
              <w:spacing w:before="147"/>
              <w:ind w:left="106"/>
              <w:jc w:val="both"/>
              <w:rPr>
                <w:b/>
                <w:color w:val="auto"/>
                <w:sz w:val="21"/>
              </w:rPr>
            </w:pPr>
            <w:r>
              <w:rPr>
                <w:b/>
                <w:color w:val="auto"/>
                <w:sz w:val="21"/>
              </w:rPr>
              <w:t>从重</w:t>
            </w:r>
          </w:p>
        </w:tc>
      </w:tr>
      <w:tr w14:paraId="08543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62" w:type="dxa"/>
            <w:vMerge w:val="continue"/>
            <w:tcBorders>
              <w:top w:val="nil"/>
            </w:tcBorders>
            <w:vAlign w:val="top"/>
          </w:tcPr>
          <w:p w14:paraId="25FCE279">
            <w:pPr>
              <w:jc w:val="both"/>
              <w:rPr>
                <w:color w:val="auto"/>
                <w:sz w:val="2"/>
                <w:szCs w:val="2"/>
              </w:rPr>
            </w:pPr>
          </w:p>
        </w:tc>
        <w:tc>
          <w:tcPr>
            <w:tcW w:w="1183" w:type="dxa"/>
            <w:gridSpan w:val="2"/>
            <w:vAlign w:val="top"/>
          </w:tcPr>
          <w:p w14:paraId="10B9A6E4">
            <w:pPr>
              <w:pStyle w:val="8"/>
              <w:spacing w:before="179"/>
              <w:ind w:left="170"/>
              <w:jc w:val="both"/>
              <w:rPr>
                <w:b/>
                <w:color w:val="auto"/>
                <w:sz w:val="21"/>
              </w:rPr>
            </w:pPr>
            <w:r>
              <w:rPr>
                <w:b/>
                <w:color w:val="auto"/>
                <w:sz w:val="21"/>
              </w:rPr>
              <w:t>裁量情节</w:t>
            </w:r>
          </w:p>
        </w:tc>
        <w:tc>
          <w:tcPr>
            <w:tcW w:w="2715" w:type="dxa"/>
            <w:vAlign w:val="top"/>
          </w:tcPr>
          <w:p w14:paraId="670468A2">
            <w:pPr>
              <w:pStyle w:val="8"/>
              <w:spacing w:before="41" w:line="242" w:lineRule="auto"/>
              <w:ind w:left="108" w:right="97"/>
              <w:jc w:val="both"/>
              <w:rPr>
                <w:color w:val="auto"/>
                <w:sz w:val="21"/>
              </w:rPr>
            </w:pPr>
            <w:r>
              <w:rPr>
                <w:color w:val="auto"/>
                <w:sz w:val="21"/>
              </w:rPr>
              <w:t>符合裁量规定减轻行政处罚情形的。</w:t>
            </w:r>
          </w:p>
        </w:tc>
        <w:tc>
          <w:tcPr>
            <w:tcW w:w="2714" w:type="dxa"/>
            <w:vAlign w:val="top"/>
          </w:tcPr>
          <w:p w14:paraId="24ABDEED">
            <w:pPr>
              <w:pStyle w:val="8"/>
              <w:spacing w:before="41" w:line="242" w:lineRule="auto"/>
              <w:ind w:left="108" w:right="94"/>
              <w:jc w:val="both"/>
              <w:rPr>
                <w:color w:val="auto"/>
                <w:sz w:val="21"/>
              </w:rPr>
            </w:pPr>
            <w:r>
              <w:rPr>
                <w:color w:val="auto"/>
                <w:sz w:val="21"/>
              </w:rPr>
              <w:t>符合裁量规定从轻行政处罚情形的。</w:t>
            </w:r>
          </w:p>
        </w:tc>
        <w:tc>
          <w:tcPr>
            <w:tcW w:w="2717" w:type="dxa"/>
            <w:vAlign w:val="top"/>
          </w:tcPr>
          <w:p w14:paraId="567423EF">
            <w:pPr>
              <w:pStyle w:val="8"/>
              <w:spacing w:before="41" w:line="242" w:lineRule="auto"/>
              <w:ind w:left="108" w:right="97"/>
              <w:jc w:val="both"/>
              <w:rPr>
                <w:color w:val="auto"/>
                <w:sz w:val="21"/>
              </w:rPr>
            </w:pPr>
            <w:r>
              <w:rPr>
                <w:color w:val="auto"/>
                <w:sz w:val="21"/>
              </w:rPr>
              <w:t>符合裁量规定一般行政处罚情形的。</w:t>
            </w:r>
          </w:p>
        </w:tc>
        <w:tc>
          <w:tcPr>
            <w:tcW w:w="3900" w:type="dxa"/>
            <w:vAlign w:val="top"/>
          </w:tcPr>
          <w:p w14:paraId="448375B7">
            <w:pPr>
              <w:pStyle w:val="8"/>
              <w:spacing w:before="179"/>
              <w:ind w:left="106"/>
              <w:jc w:val="both"/>
              <w:rPr>
                <w:color w:val="auto"/>
                <w:sz w:val="21"/>
              </w:rPr>
            </w:pPr>
            <w:r>
              <w:rPr>
                <w:color w:val="auto"/>
                <w:sz w:val="21"/>
              </w:rPr>
              <w:t>符合裁量规定从重行政处罚情形的。</w:t>
            </w:r>
          </w:p>
        </w:tc>
      </w:tr>
      <w:tr w14:paraId="2A005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0" w:hRule="atLeast"/>
        </w:trPr>
        <w:tc>
          <w:tcPr>
            <w:tcW w:w="562" w:type="dxa"/>
            <w:vMerge w:val="continue"/>
            <w:tcBorders>
              <w:top w:val="nil"/>
            </w:tcBorders>
            <w:vAlign w:val="top"/>
          </w:tcPr>
          <w:p w14:paraId="73A53808">
            <w:pPr>
              <w:jc w:val="both"/>
              <w:rPr>
                <w:color w:val="auto"/>
                <w:sz w:val="2"/>
                <w:szCs w:val="2"/>
              </w:rPr>
            </w:pPr>
          </w:p>
        </w:tc>
        <w:tc>
          <w:tcPr>
            <w:tcW w:w="667" w:type="dxa"/>
            <w:vMerge w:val="restart"/>
            <w:vAlign w:val="top"/>
          </w:tcPr>
          <w:p w14:paraId="7D7313FE">
            <w:pPr>
              <w:pStyle w:val="8"/>
              <w:jc w:val="both"/>
              <w:rPr>
                <w:rFonts w:ascii="Times New Roman"/>
                <w:color w:val="auto"/>
                <w:sz w:val="20"/>
              </w:rPr>
            </w:pPr>
          </w:p>
          <w:p w14:paraId="2A53D091">
            <w:pPr>
              <w:pStyle w:val="8"/>
              <w:jc w:val="both"/>
              <w:rPr>
                <w:rFonts w:ascii="Times New Roman"/>
                <w:color w:val="auto"/>
                <w:sz w:val="20"/>
              </w:rPr>
            </w:pPr>
          </w:p>
          <w:p w14:paraId="1379CC50">
            <w:pPr>
              <w:pStyle w:val="8"/>
              <w:jc w:val="both"/>
              <w:rPr>
                <w:rFonts w:ascii="Times New Roman"/>
                <w:color w:val="auto"/>
                <w:sz w:val="20"/>
              </w:rPr>
            </w:pPr>
          </w:p>
          <w:p w14:paraId="41389BC2">
            <w:pPr>
              <w:pStyle w:val="8"/>
              <w:jc w:val="both"/>
              <w:rPr>
                <w:rFonts w:ascii="Times New Roman"/>
                <w:color w:val="auto"/>
                <w:sz w:val="20"/>
              </w:rPr>
            </w:pPr>
          </w:p>
          <w:p w14:paraId="44D2722A">
            <w:pPr>
              <w:pStyle w:val="8"/>
              <w:jc w:val="both"/>
              <w:rPr>
                <w:rFonts w:ascii="Times New Roman"/>
                <w:color w:val="auto"/>
                <w:sz w:val="20"/>
              </w:rPr>
            </w:pPr>
          </w:p>
          <w:p w14:paraId="27A6627C">
            <w:pPr>
              <w:pStyle w:val="8"/>
              <w:spacing w:line="244" w:lineRule="auto"/>
              <w:ind w:left="122" w:right="110"/>
              <w:jc w:val="both"/>
              <w:rPr>
                <w:b/>
                <w:color w:val="auto"/>
                <w:sz w:val="21"/>
              </w:rPr>
            </w:pPr>
            <w:r>
              <w:rPr>
                <w:b/>
                <w:color w:val="auto"/>
                <w:sz w:val="21"/>
              </w:rPr>
              <w:t>裁量基准</w:t>
            </w:r>
          </w:p>
        </w:tc>
        <w:tc>
          <w:tcPr>
            <w:tcW w:w="516" w:type="dxa"/>
            <w:vAlign w:val="top"/>
          </w:tcPr>
          <w:p w14:paraId="7E2B14F7">
            <w:pPr>
              <w:pStyle w:val="8"/>
              <w:spacing w:before="9"/>
              <w:jc w:val="both"/>
              <w:rPr>
                <w:rFonts w:ascii="Times New Roman"/>
                <w:color w:val="auto"/>
                <w:sz w:val="16"/>
              </w:rPr>
            </w:pPr>
          </w:p>
          <w:p w14:paraId="3627049E">
            <w:pPr>
              <w:pStyle w:val="8"/>
              <w:spacing w:line="242" w:lineRule="auto"/>
              <w:ind w:left="151" w:right="141"/>
              <w:jc w:val="both"/>
              <w:rPr>
                <w:b/>
                <w:color w:val="auto"/>
                <w:sz w:val="21"/>
              </w:rPr>
            </w:pPr>
            <w:r>
              <w:rPr>
                <w:b/>
                <w:color w:val="auto"/>
                <w:sz w:val="21"/>
              </w:rPr>
              <w:t>一般情形</w:t>
            </w:r>
          </w:p>
        </w:tc>
        <w:tc>
          <w:tcPr>
            <w:tcW w:w="2715" w:type="dxa"/>
            <w:vAlign w:val="top"/>
          </w:tcPr>
          <w:p w14:paraId="07F04177">
            <w:pPr>
              <w:pStyle w:val="8"/>
              <w:spacing w:before="56"/>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6471BCAB">
            <w:pPr>
              <w:pStyle w:val="8"/>
              <w:spacing w:before="4"/>
              <w:ind w:left="108"/>
              <w:jc w:val="both"/>
              <w:rPr>
                <w:color w:val="auto"/>
                <w:sz w:val="21"/>
              </w:rPr>
            </w:pPr>
            <w:r>
              <w:rPr>
                <w:color w:val="auto"/>
                <w:spacing w:val="-28"/>
                <w:sz w:val="21"/>
              </w:rPr>
              <w:t xml:space="preserve">处 </w:t>
            </w:r>
            <w:r>
              <w:rPr>
                <w:color w:val="auto"/>
                <w:sz w:val="21"/>
              </w:rPr>
              <w:t>0.2</w:t>
            </w:r>
            <w:r>
              <w:rPr>
                <w:color w:val="auto"/>
                <w:spacing w:val="-21"/>
                <w:sz w:val="21"/>
              </w:rPr>
              <w:t xml:space="preserve"> 万元以上 </w:t>
            </w:r>
            <w:r>
              <w:rPr>
                <w:color w:val="auto"/>
                <w:sz w:val="21"/>
              </w:rPr>
              <w:t>2</w:t>
            </w:r>
            <w:r>
              <w:rPr>
                <w:color w:val="auto"/>
                <w:spacing w:val="-14"/>
                <w:sz w:val="21"/>
              </w:rPr>
              <w:t xml:space="preserve"> 万元以下</w:t>
            </w:r>
          </w:p>
          <w:p w14:paraId="4F160AA4">
            <w:pPr>
              <w:pStyle w:val="8"/>
              <w:spacing w:before="3"/>
              <w:ind w:left="108"/>
              <w:jc w:val="both"/>
              <w:rPr>
                <w:color w:val="auto"/>
                <w:sz w:val="21"/>
              </w:rPr>
            </w:pPr>
            <w:r>
              <w:rPr>
                <w:color w:val="auto"/>
                <w:spacing w:val="-11"/>
                <w:sz w:val="21"/>
              </w:rPr>
              <w:t xml:space="preserve">罚款；货值金额 </w:t>
            </w:r>
            <w:r>
              <w:rPr>
                <w:color w:val="auto"/>
                <w:sz w:val="21"/>
              </w:rPr>
              <w:t>1</w:t>
            </w:r>
            <w:r>
              <w:rPr>
                <w:color w:val="auto"/>
                <w:spacing w:val="-12"/>
                <w:sz w:val="21"/>
              </w:rPr>
              <w:t xml:space="preserve"> 万元以上</w:t>
            </w:r>
          </w:p>
          <w:p w14:paraId="6F61618D">
            <w:pPr>
              <w:pStyle w:val="8"/>
              <w:spacing w:before="4"/>
              <w:ind w:left="108"/>
              <w:jc w:val="both"/>
              <w:rPr>
                <w:color w:val="auto"/>
                <w:sz w:val="21"/>
              </w:rPr>
            </w:pPr>
            <w:r>
              <w:rPr>
                <w:color w:val="auto"/>
                <w:spacing w:val="-11"/>
                <w:sz w:val="21"/>
              </w:rPr>
              <w:t xml:space="preserve">的，并处货值金额 </w:t>
            </w:r>
            <w:r>
              <w:rPr>
                <w:color w:val="auto"/>
                <w:sz w:val="21"/>
              </w:rPr>
              <w:t>0.5</w:t>
            </w:r>
            <w:r>
              <w:rPr>
                <w:color w:val="auto"/>
                <w:spacing w:val="-19"/>
                <w:sz w:val="21"/>
              </w:rPr>
              <w:t xml:space="preserve"> 倍以</w:t>
            </w:r>
          </w:p>
          <w:p w14:paraId="1BABB3F1">
            <w:pPr>
              <w:pStyle w:val="8"/>
              <w:spacing w:before="2"/>
              <w:ind w:left="108"/>
              <w:jc w:val="both"/>
              <w:rPr>
                <w:color w:val="auto"/>
                <w:sz w:val="21"/>
              </w:rPr>
            </w:pPr>
            <w:r>
              <w:rPr>
                <w:color w:val="auto"/>
                <w:sz w:val="21"/>
              </w:rPr>
              <w:t>上 5 倍以下罚款。</w:t>
            </w:r>
          </w:p>
        </w:tc>
        <w:tc>
          <w:tcPr>
            <w:tcW w:w="2714" w:type="dxa"/>
            <w:vAlign w:val="top"/>
          </w:tcPr>
          <w:p w14:paraId="27F13E8B">
            <w:pPr>
              <w:pStyle w:val="8"/>
              <w:spacing w:before="56"/>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6441C9FA">
            <w:pPr>
              <w:pStyle w:val="8"/>
              <w:spacing w:before="4"/>
              <w:ind w:left="108"/>
              <w:jc w:val="both"/>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2.9</w:t>
            </w:r>
            <w:r>
              <w:rPr>
                <w:color w:val="auto"/>
                <w:spacing w:val="-13"/>
                <w:sz w:val="21"/>
              </w:rPr>
              <w:t xml:space="preserve"> 万元以下</w:t>
            </w:r>
          </w:p>
          <w:p w14:paraId="290C6CB2">
            <w:pPr>
              <w:pStyle w:val="8"/>
              <w:spacing w:before="3"/>
              <w:ind w:left="108"/>
              <w:jc w:val="both"/>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14:paraId="13211AD1">
            <w:pPr>
              <w:pStyle w:val="8"/>
              <w:spacing w:before="4"/>
              <w:ind w:left="108"/>
              <w:jc w:val="both"/>
              <w:rPr>
                <w:color w:val="auto"/>
                <w:sz w:val="21"/>
              </w:rPr>
            </w:pPr>
            <w:r>
              <w:rPr>
                <w:color w:val="auto"/>
                <w:spacing w:val="-11"/>
                <w:sz w:val="21"/>
              </w:rPr>
              <w:t xml:space="preserve">的，并处货值金额 </w:t>
            </w:r>
            <w:r>
              <w:rPr>
                <w:color w:val="auto"/>
                <w:sz w:val="21"/>
              </w:rPr>
              <w:t>5</w:t>
            </w:r>
            <w:r>
              <w:rPr>
                <w:color w:val="auto"/>
                <w:spacing w:val="-14"/>
                <w:sz w:val="21"/>
              </w:rPr>
              <w:t xml:space="preserve"> 倍以上</w:t>
            </w:r>
          </w:p>
          <w:p w14:paraId="15126909">
            <w:pPr>
              <w:pStyle w:val="8"/>
              <w:spacing w:before="2"/>
              <w:ind w:left="108"/>
              <w:jc w:val="both"/>
              <w:rPr>
                <w:color w:val="auto"/>
                <w:sz w:val="21"/>
              </w:rPr>
            </w:pPr>
            <w:r>
              <w:rPr>
                <w:color w:val="auto"/>
                <w:sz w:val="21"/>
              </w:rPr>
              <w:t>9.5 倍以下罚款。</w:t>
            </w:r>
          </w:p>
        </w:tc>
        <w:tc>
          <w:tcPr>
            <w:tcW w:w="2717" w:type="dxa"/>
            <w:vAlign w:val="top"/>
          </w:tcPr>
          <w:p w14:paraId="3A251FEE">
            <w:pPr>
              <w:pStyle w:val="8"/>
              <w:spacing w:before="56"/>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14:paraId="32AD3F1F">
            <w:pPr>
              <w:pStyle w:val="8"/>
              <w:spacing w:before="4" w:line="242" w:lineRule="auto"/>
              <w:ind w:left="108" w:right="95"/>
              <w:jc w:val="both"/>
              <w:rPr>
                <w:color w:val="auto"/>
                <w:sz w:val="21"/>
              </w:rPr>
            </w:pPr>
            <w:r>
              <w:rPr>
                <w:color w:val="auto"/>
                <w:sz w:val="21"/>
              </w:rPr>
              <w:t>2.9</w:t>
            </w:r>
            <w:r>
              <w:rPr>
                <w:color w:val="auto"/>
                <w:spacing w:val="-15"/>
                <w:sz w:val="21"/>
              </w:rPr>
              <w:t xml:space="preserve"> 万元以上 </w:t>
            </w:r>
            <w:r>
              <w:rPr>
                <w:color w:val="auto"/>
                <w:sz w:val="21"/>
              </w:rPr>
              <w:t>4.1</w:t>
            </w:r>
            <w:r>
              <w:rPr>
                <w:color w:val="auto"/>
                <w:spacing w:val="-13"/>
                <w:sz w:val="21"/>
              </w:rPr>
              <w:t xml:space="preserve"> 万元以下</w:t>
            </w:r>
            <w:r>
              <w:rPr>
                <w:color w:val="auto"/>
                <w:spacing w:val="-12"/>
                <w:sz w:val="21"/>
              </w:rPr>
              <w:t xml:space="preserve">罚款；货值金额 </w:t>
            </w:r>
            <w:r>
              <w:rPr>
                <w:color w:val="auto"/>
                <w:sz w:val="21"/>
              </w:rPr>
              <w:t>1</w:t>
            </w:r>
            <w:r>
              <w:rPr>
                <w:color w:val="auto"/>
                <w:spacing w:val="-14"/>
                <w:sz w:val="21"/>
              </w:rPr>
              <w:t xml:space="preserve"> 万元以上</w:t>
            </w:r>
            <w:r>
              <w:rPr>
                <w:color w:val="auto"/>
                <w:spacing w:val="-12"/>
                <w:sz w:val="21"/>
              </w:rPr>
              <w:t xml:space="preserve">的，处货值金额 </w:t>
            </w:r>
            <w:r>
              <w:rPr>
                <w:color w:val="auto"/>
                <w:sz w:val="21"/>
              </w:rPr>
              <w:t>9.5</w:t>
            </w:r>
            <w:r>
              <w:rPr>
                <w:color w:val="auto"/>
                <w:spacing w:val="-17"/>
                <w:sz w:val="21"/>
              </w:rPr>
              <w:t xml:space="preserve"> 倍以上</w:t>
            </w:r>
          </w:p>
          <w:p w14:paraId="2E243812">
            <w:pPr>
              <w:pStyle w:val="8"/>
              <w:spacing w:before="1"/>
              <w:ind w:left="108"/>
              <w:jc w:val="both"/>
              <w:rPr>
                <w:color w:val="auto"/>
                <w:sz w:val="21"/>
              </w:rPr>
            </w:pPr>
            <w:r>
              <w:rPr>
                <w:color w:val="auto"/>
                <w:sz w:val="21"/>
              </w:rPr>
              <w:t>15.5 倍以下罚款。</w:t>
            </w:r>
          </w:p>
        </w:tc>
        <w:tc>
          <w:tcPr>
            <w:tcW w:w="3900" w:type="dxa"/>
            <w:vAlign w:val="top"/>
          </w:tcPr>
          <w:p w14:paraId="4547F46B">
            <w:pPr>
              <w:pStyle w:val="8"/>
              <w:spacing w:before="7"/>
              <w:jc w:val="both"/>
              <w:rPr>
                <w:rFonts w:ascii="Times New Roman"/>
                <w:color w:val="auto"/>
                <w:sz w:val="28"/>
              </w:rPr>
            </w:pPr>
          </w:p>
          <w:p w14:paraId="7F58629B">
            <w:pPr>
              <w:pStyle w:val="8"/>
              <w:spacing w:before="1"/>
              <w:ind w:left="106"/>
              <w:jc w:val="both"/>
              <w:rPr>
                <w:color w:val="auto"/>
                <w:sz w:val="21"/>
              </w:rPr>
            </w:pPr>
            <w:r>
              <w:rPr>
                <w:color w:val="auto"/>
                <w:spacing w:val="-9"/>
                <w:sz w:val="21"/>
              </w:rPr>
              <w:t xml:space="preserve">货值金额不足 </w:t>
            </w:r>
            <w:r>
              <w:rPr>
                <w:color w:val="auto"/>
                <w:sz w:val="21"/>
              </w:rPr>
              <w:t>1</w:t>
            </w:r>
            <w:r>
              <w:rPr>
                <w:color w:val="auto"/>
                <w:spacing w:val="-30"/>
                <w:sz w:val="21"/>
              </w:rPr>
              <w:t xml:space="preserve"> 万元的，处 </w:t>
            </w:r>
            <w:r>
              <w:rPr>
                <w:color w:val="auto"/>
                <w:sz w:val="21"/>
              </w:rPr>
              <w:t>4.1</w:t>
            </w:r>
            <w:r>
              <w:rPr>
                <w:color w:val="auto"/>
                <w:spacing w:val="-12"/>
                <w:sz w:val="21"/>
              </w:rPr>
              <w:t xml:space="preserve"> 万元以上</w:t>
            </w:r>
          </w:p>
          <w:p w14:paraId="2025AA26">
            <w:pPr>
              <w:pStyle w:val="8"/>
              <w:spacing w:before="2"/>
              <w:ind w:left="106" w:right="-15"/>
              <w:jc w:val="both"/>
              <w:rPr>
                <w:color w:val="auto"/>
                <w:sz w:val="21"/>
              </w:rPr>
            </w:pPr>
            <w:r>
              <w:rPr>
                <w:color w:val="auto"/>
                <w:sz w:val="21"/>
              </w:rPr>
              <w:t>5</w:t>
            </w:r>
            <w:r>
              <w:rPr>
                <w:color w:val="auto"/>
                <w:spacing w:val="-14"/>
                <w:sz w:val="21"/>
              </w:rPr>
              <w:t xml:space="preserve"> 万元以下罚款；货值金额</w:t>
            </w:r>
            <w:r>
              <w:rPr>
                <w:color w:val="auto"/>
                <w:sz w:val="21"/>
              </w:rPr>
              <w:t>1</w:t>
            </w:r>
            <w:r>
              <w:rPr>
                <w:color w:val="auto"/>
                <w:spacing w:val="-10"/>
                <w:sz w:val="21"/>
              </w:rPr>
              <w:t xml:space="preserve"> 万元以上的，</w:t>
            </w:r>
          </w:p>
          <w:p w14:paraId="232D40F5">
            <w:pPr>
              <w:pStyle w:val="8"/>
              <w:spacing w:before="4"/>
              <w:ind w:left="106"/>
              <w:jc w:val="both"/>
              <w:rPr>
                <w:color w:val="auto"/>
                <w:sz w:val="21"/>
              </w:rPr>
            </w:pPr>
            <w:r>
              <w:rPr>
                <w:color w:val="auto"/>
                <w:spacing w:val="-10"/>
                <w:sz w:val="21"/>
              </w:rPr>
              <w:t xml:space="preserve">处货值金额 </w:t>
            </w:r>
            <w:r>
              <w:rPr>
                <w:color w:val="auto"/>
                <w:sz w:val="21"/>
              </w:rPr>
              <w:t>15.5</w:t>
            </w:r>
            <w:r>
              <w:rPr>
                <w:color w:val="auto"/>
                <w:spacing w:val="-22"/>
                <w:sz w:val="21"/>
              </w:rPr>
              <w:t xml:space="preserve"> 倍以上 </w:t>
            </w:r>
            <w:r>
              <w:rPr>
                <w:color w:val="auto"/>
                <w:sz w:val="21"/>
              </w:rPr>
              <w:t>20</w:t>
            </w:r>
            <w:r>
              <w:rPr>
                <w:color w:val="auto"/>
                <w:spacing w:val="-11"/>
                <w:sz w:val="21"/>
              </w:rPr>
              <w:t xml:space="preserve"> 倍以下罚款。</w:t>
            </w:r>
          </w:p>
        </w:tc>
      </w:tr>
      <w:tr w14:paraId="3D7F4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3" w:hRule="atLeast"/>
        </w:trPr>
        <w:tc>
          <w:tcPr>
            <w:tcW w:w="562" w:type="dxa"/>
            <w:vMerge w:val="continue"/>
            <w:tcBorders>
              <w:top w:val="nil"/>
            </w:tcBorders>
            <w:vAlign w:val="top"/>
          </w:tcPr>
          <w:p w14:paraId="03CD5294">
            <w:pPr>
              <w:jc w:val="both"/>
              <w:rPr>
                <w:color w:val="auto"/>
                <w:sz w:val="2"/>
                <w:szCs w:val="2"/>
              </w:rPr>
            </w:pPr>
          </w:p>
        </w:tc>
        <w:tc>
          <w:tcPr>
            <w:tcW w:w="667" w:type="dxa"/>
            <w:vMerge w:val="continue"/>
            <w:tcBorders>
              <w:top w:val="nil"/>
            </w:tcBorders>
            <w:vAlign w:val="top"/>
          </w:tcPr>
          <w:p w14:paraId="5933EB38">
            <w:pPr>
              <w:jc w:val="both"/>
              <w:rPr>
                <w:color w:val="auto"/>
                <w:sz w:val="2"/>
                <w:szCs w:val="2"/>
              </w:rPr>
            </w:pPr>
          </w:p>
        </w:tc>
        <w:tc>
          <w:tcPr>
            <w:tcW w:w="516" w:type="dxa"/>
            <w:vAlign w:val="top"/>
          </w:tcPr>
          <w:p w14:paraId="7693F772">
            <w:pPr>
              <w:pStyle w:val="8"/>
              <w:spacing w:before="3" w:line="242" w:lineRule="auto"/>
              <w:ind w:left="151" w:right="141"/>
              <w:jc w:val="both"/>
              <w:rPr>
                <w:b/>
                <w:color w:val="auto"/>
                <w:sz w:val="21"/>
              </w:rPr>
            </w:pPr>
            <w:r>
              <w:rPr>
                <w:b/>
                <w:color w:val="auto"/>
                <w:sz w:val="21"/>
              </w:rPr>
              <w:t>情节严重</w:t>
            </w:r>
          </w:p>
          <w:p w14:paraId="4A022DF9">
            <w:pPr>
              <w:pStyle w:val="8"/>
              <w:spacing w:before="1" w:line="252" w:lineRule="exact"/>
              <w:ind w:left="151"/>
              <w:jc w:val="both"/>
              <w:rPr>
                <w:b/>
                <w:color w:val="auto"/>
                <w:sz w:val="21"/>
              </w:rPr>
            </w:pPr>
            <w:r>
              <w:rPr>
                <w:b/>
                <w:color w:val="auto"/>
                <w:w w:val="100"/>
                <w:sz w:val="21"/>
              </w:rPr>
              <w:t>的</w:t>
            </w:r>
          </w:p>
        </w:tc>
        <w:tc>
          <w:tcPr>
            <w:tcW w:w="2715" w:type="dxa"/>
            <w:vAlign w:val="top"/>
          </w:tcPr>
          <w:p w14:paraId="0C147B93">
            <w:pPr>
              <w:pStyle w:val="8"/>
              <w:jc w:val="both"/>
              <w:rPr>
                <w:rFonts w:ascii="Times New Roman"/>
                <w:color w:val="auto"/>
                <w:sz w:val="20"/>
              </w:rPr>
            </w:pPr>
          </w:p>
        </w:tc>
        <w:tc>
          <w:tcPr>
            <w:tcW w:w="2714" w:type="dxa"/>
            <w:vAlign w:val="top"/>
          </w:tcPr>
          <w:p w14:paraId="17CF08E2">
            <w:pPr>
              <w:pStyle w:val="8"/>
              <w:spacing w:before="137" w:line="242" w:lineRule="auto"/>
              <w:ind w:left="108" w:right="92"/>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5DD20D0E">
            <w:pPr>
              <w:pStyle w:val="8"/>
              <w:spacing w:before="4"/>
              <w:ind w:left="108"/>
              <w:jc w:val="both"/>
              <w:rPr>
                <w:color w:val="auto"/>
                <w:sz w:val="21"/>
              </w:rPr>
            </w:pPr>
            <w:r>
              <w:rPr>
                <w:color w:val="auto"/>
                <w:sz w:val="21"/>
              </w:rPr>
              <w:t>0.3</w:t>
            </w:r>
            <w:r>
              <w:rPr>
                <w:color w:val="auto"/>
                <w:spacing w:val="-13"/>
                <w:sz w:val="21"/>
              </w:rPr>
              <w:t xml:space="preserve"> 倍以上</w:t>
            </w:r>
            <w:r>
              <w:rPr>
                <w:color w:val="auto"/>
                <w:sz w:val="21"/>
              </w:rPr>
              <w:t>1.1</w:t>
            </w:r>
            <w:r>
              <w:rPr>
                <w:color w:val="auto"/>
                <w:spacing w:val="-16"/>
                <w:sz w:val="21"/>
              </w:rPr>
              <w:t xml:space="preserve"> 倍以下罚款。</w:t>
            </w:r>
          </w:p>
        </w:tc>
        <w:tc>
          <w:tcPr>
            <w:tcW w:w="2717" w:type="dxa"/>
            <w:vAlign w:val="top"/>
          </w:tcPr>
          <w:p w14:paraId="57E14D93">
            <w:pPr>
              <w:pStyle w:val="8"/>
              <w:spacing w:before="137" w:line="242" w:lineRule="auto"/>
              <w:ind w:left="108" w:right="95"/>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43DD9FD3">
            <w:pPr>
              <w:pStyle w:val="8"/>
              <w:spacing w:before="4"/>
              <w:ind w:left="108"/>
              <w:jc w:val="both"/>
              <w:rPr>
                <w:color w:val="auto"/>
                <w:sz w:val="21"/>
              </w:rPr>
            </w:pPr>
            <w:r>
              <w:rPr>
                <w:color w:val="auto"/>
                <w:sz w:val="21"/>
              </w:rPr>
              <w:t>1.1</w:t>
            </w:r>
            <w:r>
              <w:rPr>
                <w:rFonts w:hint="eastAsia"/>
                <w:color w:val="auto"/>
                <w:sz w:val="21"/>
                <w:lang w:val="en-US" w:eastAsia="zh-CN"/>
              </w:rPr>
              <w:t>1</w:t>
            </w:r>
            <w:r>
              <w:rPr>
                <w:color w:val="auto"/>
                <w:spacing w:val="-13"/>
                <w:sz w:val="21"/>
              </w:rPr>
              <w:t xml:space="preserve"> 倍以上</w:t>
            </w:r>
            <w:r>
              <w:rPr>
                <w:color w:val="auto"/>
                <w:sz w:val="21"/>
              </w:rPr>
              <w:t>2.</w:t>
            </w:r>
            <w:r>
              <w:rPr>
                <w:rFonts w:hint="eastAsia"/>
                <w:color w:val="auto"/>
                <w:sz w:val="21"/>
                <w:lang w:val="en-US" w:eastAsia="zh-CN"/>
              </w:rPr>
              <w:t>19</w:t>
            </w:r>
            <w:r>
              <w:rPr>
                <w:color w:val="auto"/>
                <w:spacing w:val="-16"/>
                <w:sz w:val="21"/>
              </w:rPr>
              <w:t xml:space="preserve"> 倍以下罚款。</w:t>
            </w:r>
          </w:p>
        </w:tc>
        <w:tc>
          <w:tcPr>
            <w:tcW w:w="3900" w:type="dxa"/>
            <w:vAlign w:val="top"/>
          </w:tcPr>
          <w:p w14:paraId="617E2361">
            <w:pPr>
              <w:pStyle w:val="8"/>
              <w:spacing w:before="10"/>
              <w:jc w:val="both"/>
              <w:rPr>
                <w:rFonts w:ascii="Times New Roman"/>
                <w:color w:val="auto"/>
                <w:sz w:val="23"/>
              </w:rPr>
            </w:pPr>
          </w:p>
          <w:p w14:paraId="059C6AB1">
            <w:pPr>
              <w:pStyle w:val="8"/>
              <w:spacing w:line="244" w:lineRule="auto"/>
              <w:ind w:left="106" w:right="92"/>
              <w:jc w:val="both"/>
              <w:rPr>
                <w:color w:val="auto"/>
                <w:sz w:val="21"/>
              </w:rPr>
            </w:pPr>
            <w:r>
              <w:rPr>
                <w:color w:val="auto"/>
                <w:spacing w:val="-13"/>
                <w:sz w:val="21"/>
              </w:rPr>
              <w:t>对法定代表人、主要负责人、直接负责的</w:t>
            </w:r>
            <w:r>
              <w:rPr>
                <w:color w:val="auto"/>
                <w:spacing w:val="17"/>
                <w:sz w:val="21"/>
              </w:rPr>
              <w:t>主管人员和其他责任人员处所获收入</w:t>
            </w:r>
          </w:p>
          <w:p w14:paraId="23C559FC">
            <w:pPr>
              <w:pStyle w:val="8"/>
              <w:spacing w:line="266" w:lineRule="exact"/>
              <w:ind w:left="106"/>
              <w:jc w:val="both"/>
              <w:rPr>
                <w:color w:val="auto"/>
                <w:sz w:val="21"/>
              </w:rPr>
            </w:pPr>
            <w:r>
              <w:rPr>
                <w:color w:val="auto"/>
                <w:sz w:val="21"/>
              </w:rPr>
              <w:t>2.</w:t>
            </w:r>
            <w:r>
              <w:rPr>
                <w:rFonts w:hint="eastAsia"/>
                <w:color w:val="auto"/>
                <w:sz w:val="21"/>
                <w:lang w:val="en-US" w:eastAsia="zh-CN"/>
              </w:rPr>
              <w:t>19</w:t>
            </w:r>
            <w:r>
              <w:rPr>
                <w:color w:val="auto"/>
                <w:sz w:val="21"/>
              </w:rPr>
              <w:t xml:space="preserve"> 倍以上 3 倍以下罚款。</w:t>
            </w:r>
          </w:p>
        </w:tc>
      </w:tr>
    </w:tbl>
    <w:p w14:paraId="5FD70075">
      <w:pPr>
        <w:pStyle w:val="4"/>
        <w:jc w:val="both"/>
        <w:rPr>
          <w:rFonts w:ascii="Times New Roman"/>
          <w:color w:val="auto"/>
          <w:sz w:val="20"/>
        </w:rPr>
      </w:pPr>
    </w:p>
    <w:p w14:paraId="103A6E62">
      <w:pPr>
        <w:spacing w:after="0" w:line="266" w:lineRule="exact"/>
        <w:jc w:val="both"/>
        <w:rPr>
          <w:color w:val="auto"/>
          <w:sz w:val="21"/>
        </w:rPr>
        <w:sectPr>
          <w:pgSz w:w="16840" w:h="11910" w:orient="landscape"/>
          <w:pgMar w:top="1100" w:right="1400" w:bottom="1760" w:left="1400" w:header="0" w:footer="1572" w:gutter="0"/>
          <w:pgNumType w:fmt="numberInDash"/>
          <w:cols w:space="720" w:num="1"/>
        </w:sectPr>
      </w:pPr>
    </w:p>
    <w:tbl>
      <w:tblPr>
        <w:tblStyle w:val="6"/>
        <w:tblpPr w:leftFromText="180" w:rightFromText="180" w:vertAnchor="text" w:horzAnchor="page" w:tblpX="1464" w:tblpY="264"/>
        <w:tblOverlap w:val="never"/>
        <w:tblW w:w="1379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46"/>
        <w:gridCol w:w="538"/>
        <w:gridCol w:w="2715"/>
        <w:gridCol w:w="2714"/>
        <w:gridCol w:w="2717"/>
        <w:gridCol w:w="3900"/>
      </w:tblGrid>
      <w:tr w14:paraId="3D6B5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562" w:type="dxa"/>
            <w:vMerge w:val="restart"/>
            <w:vAlign w:val="top"/>
          </w:tcPr>
          <w:p w14:paraId="0A5B1E65">
            <w:pPr>
              <w:pStyle w:val="8"/>
              <w:jc w:val="both"/>
              <w:rPr>
                <w:rFonts w:ascii="Times New Roman"/>
                <w:color w:val="auto"/>
                <w:sz w:val="20"/>
              </w:rPr>
            </w:pPr>
          </w:p>
          <w:p w14:paraId="342AADC5">
            <w:pPr>
              <w:pStyle w:val="8"/>
              <w:jc w:val="both"/>
              <w:rPr>
                <w:rFonts w:ascii="Times New Roman"/>
                <w:color w:val="auto"/>
                <w:sz w:val="20"/>
              </w:rPr>
            </w:pPr>
          </w:p>
          <w:p w14:paraId="7F3C2B40">
            <w:pPr>
              <w:pStyle w:val="8"/>
              <w:jc w:val="both"/>
              <w:rPr>
                <w:rFonts w:ascii="Times New Roman"/>
                <w:color w:val="auto"/>
                <w:sz w:val="20"/>
              </w:rPr>
            </w:pPr>
          </w:p>
          <w:p w14:paraId="6286B341">
            <w:pPr>
              <w:pStyle w:val="8"/>
              <w:jc w:val="both"/>
              <w:rPr>
                <w:rFonts w:ascii="Times New Roman"/>
                <w:color w:val="auto"/>
                <w:sz w:val="20"/>
              </w:rPr>
            </w:pPr>
          </w:p>
          <w:p w14:paraId="5B221F50">
            <w:pPr>
              <w:pStyle w:val="8"/>
              <w:jc w:val="both"/>
              <w:rPr>
                <w:rFonts w:ascii="Times New Roman"/>
                <w:color w:val="auto"/>
                <w:sz w:val="20"/>
              </w:rPr>
            </w:pPr>
          </w:p>
          <w:p w14:paraId="2A628B47">
            <w:pPr>
              <w:pStyle w:val="8"/>
              <w:jc w:val="both"/>
              <w:rPr>
                <w:rFonts w:ascii="Times New Roman"/>
                <w:color w:val="auto"/>
                <w:sz w:val="20"/>
              </w:rPr>
            </w:pPr>
          </w:p>
          <w:p w14:paraId="3E55C578">
            <w:pPr>
              <w:pStyle w:val="8"/>
              <w:jc w:val="both"/>
              <w:rPr>
                <w:rFonts w:ascii="Times New Roman"/>
                <w:color w:val="auto"/>
                <w:sz w:val="20"/>
              </w:rPr>
            </w:pPr>
          </w:p>
          <w:p w14:paraId="4381FEA2">
            <w:pPr>
              <w:pStyle w:val="8"/>
              <w:jc w:val="both"/>
              <w:rPr>
                <w:rFonts w:ascii="Times New Roman"/>
                <w:color w:val="auto"/>
                <w:sz w:val="20"/>
              </w:rPr>
            </w:pPr>
          </w:p>
          <w:p w14:paraId="3FDEDEC8">
            <w:pPr>
              <w:pStyle w:val="8"/>
              <w:jc w:val="both"/>
              <w:rPr>
                <w:rFonts w:ascii="Times New Roman"/>
                <w:color w:val="auto"/>
                <w:sz w:val="20"/>
              </w:rPr>
            </w:pPr>
          </w:p>
          <w:p w14:paraId="06EC7F4D">
            <w:pPr>
              <w:pStyle w:val="8"/>
              <w:jc w:val="both"/>
              <w:rPr>
                <w:rFonts w:ascii="Times New Roman"/>
                <w:color w:val="auto"/>
                <w:sz w:val="20"/>
              </w:rPr>
            </w:pPr>
          </w:p>
          <w:p w14:paraId="43CEE9C8">
            <w:pPr>
              <w:pStyle w:val="8"/>
              <w:jc w:val="both"/>
              <w:rPr>
                <w:rFonts w:ascii="Times New Roman"/>
                <w:color w:val="auto"/>
                <w:sz w:val="20"/>
              </w:rPr>
            </w:pPr>
          </w:p>
          <w:p w14:paraId="0272EB90">
            <w:pPr>
              <w:pStyle w:val="8"/>
              <w:jc w:val="both"/>
              <w:rPr>
                <w:rFonts w:ascii="Times New Roman"/>
                <w:color w:val="auto"/>
                <w:sz w:val="20"/>
              </w:rPr>
            </w:pPr>
          </w:p>
          <w:p w14:paraId="366CEF29">
            <w:pPr>
              <w:pStyle w:val="8"/>
              <w:jc w:val="both"/>
              <w:rPr>
                <w:rFonts w:ascii="Times New Roman"/>
                <w:color w:val="auto"/>
                <w:sz w:val="20"/>
              </w:rPr>
            </w:pPr>
          </w:p>
          <w:p w14:paraId="3CD1DB79">
            <w:pPr>
              <w:pStyle w:val="8"/>
              <w:jc w:val="both"/>
              <w:rPr>
                <w:rFonts w:ascii="Times New Roman"/>
                <w:color w:val="auto"/>
                <w:sz w:val="20"/>
              </w:rPr>
            </w:pPr>
          </w:p>
          <w:p w14:paraId="06E2BBC7">
            <w:pPr>
              <w:pStyle w:val="8"/>
              <w:jc w:val="both"/>
              <w:rPr>
                <w:rFonts w:ascii="Times New Roman"/>
                <w:color w:val="auto"/>
                <w:sz w:val="20"/>
              </w:rPr>
            </w:pPr>
          </w:p>
          <w:p w14:paraId="735C1361">
            <w:pPr>
              <w:pStyle w:val="8"/>
              <w:spacing w:before="4"/>
              <w:jc w:val="both"/>
              <w:rPr>
                <w:rFonts w:ascii="Times New Roman"/>
                <w:color w:val="auto"/>
                <w:sz w:val="18"/>
              </w:rPr>
            </w:pPr>
          </w:p>
          <w:p w14:paraId="3309FE9C">
            <w:pPr>
              <w:pStyle w:val="8"/>
              <w:spacing w:before="1"/>
              <w:ind w:left="9"/>
              <w:jc w:val="center"/>
              <w:rPr>
                <w:b/>
                <w:color w:val="auto"/>
                <w:sz w:val="21"/>
              </w:rPr>
            </w:pPr>
            <w:r>
              <w:rPr>
                <w:b/>
                <w:color w:val="auto"/>
                <w:w w:val="99"/>
                <w:sz w:val="21"/>
              </w:rPr>
              <w:t>7</w:t>
            </w:r>
          </w:p>
        </w:tc>
        <w:tc>
          <w:tcPr>
            <w:tcW w:w="1184" w:type="dxa"/>
            <w:gridSpan w:val="2"/>
            <w:vAlign w:val="top"/>
          </w:tcPr>
          <w:p w14:paraId="31ED723F">
            <w:pPr>
              <w:pStyle w:val="8"/>
              <w:jc w:val="both"/>
              <w:rPr>
                <w:rFonts w:ascii="Times New Roman"/>
                <w:color w:val="auto"/>
                <w:sz w:val="20"/>
              </w:rPr>
            </w:pPr>
          </w:p>
          <w:p w14:paraId="32FE7C0F">
            <w:pPr>
              <w:pStyle w:val="8"/>
              <w:spacing w:before="11"/>
              <w:jc w:val="both"/>
              <w:rPr>
                <w:rFonts w:ascii="Times New Roman"/>
                <w:color w:val="auto"/>
                <w:sz w:val="24"/>
              </w:rPr>
            </w:pPr>
          </w:p>
          <w:p w14:paraId="15B62AE3">
            <w:pPr>
              <w:pStyle w:val="8"/>
              <w:ind w:left="170"/>
              <w:jc w:val="both"/>
              <w:rPr>
                <w:b/>
                <w:color w:val="auto"/>
                <w:sz w:val="21"/>
              </w:rPr>
            </w:pPr>
            <w:r>
              <w:rPr>
                <w:b/>
                <w:color w:val="auto"/>
                <w:sz w:val="21"/>
              </w:rPr>
              <w:t>违法行为</w:t>
            </w:r>
          </w:p>
        </w:tc>
        <w:tc>
          <w:tcPr>
            <w:tcW w:w="12046" w:type="dxa"/>
            <w:gridSpan w:val="4"/>
            <w:vAlign w:val="top"/>
          </w:tcPr>
          <w:p w14:paraId="40CE870A">
            <w:pPr>
              <w:pStyle w:val="8"/>
              <w:spacing w:before="109" w:line="244" w:lineRule="auto"/>
              <w:ind w:left="529" w:right="157" w:hanging="3"/>
              <w:jc w:val="both"/>
              <w:rPr>
                <w:color w:val="auto"/>
                <w:sz w:val="21"/>
              </w:rPr>
            </w:pPr>
            <w:r>
              <w:rPr>
                <w:color w:val="auto"/>
                <w:sz w:val="21"/>
              </w:rPr>
              <w:t>生产条件发生变化、不再符合医疗器械质量管理体系要求，未依照《医疗器械监督管理条例》规定整改、停止生产、报告； 生产、经营说明书、标签不符合《医疗器械监督管理条例》规定的医疗器械；</w:t>
            </w:r>
          </w:p>
          <w:p w14:paraId="138A3E4D">
            <w:pPr>
              <w:pStyle w:val="8"/>
              <w:spacing w:line="242" w:lineRule="auto"/>
              <w:ind w:left="529" w:right="5830"/>
              <w:jc w:val="both"/>
              <w:rPr>
                <w:color w:val="auto"/>
                <w:sz w:val="21"/>
              </w:rPr>
            </w:pPr>
            <w:r>
              <w:rPr>
                <w:color w:val="auto"/>
                <w:sz w:val="21"/>
              </w:rPr>
              <w:t>未按照医疗器械说明书和标签标示要求运输、贮存医疗器械； 转让过期、失效、淘汰或者检验不合格的在用医疗器械。</w:t>
            </w:r>
          </w:p>
        </w:tc>
      </w:tr>
      <w:tr w14:paraId="3FF66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3" w:hRule="atLeast"/>
        </w:trPr>
        <w:tc>
          <w:tcPr>
            <w:tcW w:w="562" w:type="dxa"/>
            <w:vMerge w:val="continue"/>
            <w:tcBorders>
              <w:top w:val="nil"/>
            </w:tcBorders>
            <w:vAlign w:val="top"/>
          </w:tcPr>
          <w:p w14:paraId="15EA0C89">
            <w:pPr>
              <w:jc w:val="both"/>
              <w:rPr>
                <w:color w:val="auto"/>
                <w:sz w:val="2"/>
                <w:szCs w:val="2"/>
              </w:rPr>
            </w:pPr>
          </w:p>
        </w:tc>
        <w:tc>
          <w:tcPr>
            <w:tcW w:w="1184" w:type="dxa"/>
            <w:gridSpan w:val="2"/>
            <w:vAlign w:val="top"/>
          </w:tcPr>
          <w:p w14:paraId="5C3C9EF9">
            <w:pPr>
              <w:pStyle w:val="8"/>
              <w:jc w:val="both"/>
              <w:rPr>
                <w:rFonts w:ascii="Times New Roman"/>
                <w:color w:val="auto"/>
                <w:sz w:val="20"/>
              </w:rPr>
            </w:pPr>
          </w:p>
          <w:p w14:paraId="623AE769">
            <w:pPr>
              <w:pStyle w:val="8"/>
              <w:jc w:val="both"/>
              <w:rPr>
                <w:rFonts w:ascii="Times New Roman"/>
                <w:color w:val="auto"/>
                <w:sz w:val="25"/>
              </w:rPr>
            </w:pPr>
          </w:p>
          <w:p w14:paraId="0AD946EE">
            <w:pPr>
              <w:pStyle w:val="8"/>
              <w:ind w:left="170"/>
              <w:jc w:val="both"/>
              <w:rPr>
                <w:b/>
                <w:color w:val="auto"/>
                <w:sz w:val="21"/>
              </w:rPr>
            </w:pPr>
            <w:r>
              <w:rPr>
                <w:b/>
                <w:color w:val="auto"/>
                <w:sz w:val="21"/>
              </w:rPr>
              <w:t>处罚依据</w:t>
            </w:r>
          </w:p>
        </w:tc>
        <w:tc>
          <w:tcPr>
            <w:tcW w:w="12046" w:type="dxa"/>
            <w:gridSpan w:val="4"/>
            <w:vAlign w:val="top"/>
          </w:tcPr>
          <w:p w14:paraId="3E6829EA">
            <w:pPr>
              <w:pStyle w:val="8"/>
              <w:spacing w:before="109"/>
              <w:ind w:left="527"/>
              <w:jc w:val="both"/>
              <w:rPr>
                <w:color w:val="auto"/>
                <w:sz w:val="21"/>
              </w:rPr>
            </w:pPr>
            <w:r>
              <w:rPr>
                <w:color w:val="auto"/>
                <w:spacing w:val="-4"/>
                <w:sz w:val="21"/>
              </w:rPr>
              <w:t xml:space="preserve">根据《医疗器械监督管理条例》第八十八条，由负责药品监督管理的部门责令改正，处 </w:t>
            </w:r>
            <w:r>
              <w:rPr>
                <w:color w:val="auto"/>
                <w:sz w:val="21"/>
              </w:rPr>
              <w:t>1</w:t>
            </w:r>
            <w:r>
              <w:rPr>
                <w:color w:val="auto"/>
                <w:spacing w:val="-11"/>
                <w:sz w:val="21"/>
              </w:rPr>
              <w:t xml:space="preserve"> 万元以上 </w:t>
            </w:r>
            <w:r>
              <w:rPr>
                <w:color w:val="auto"/>
                <w:sz w:val="21"/>
              </w:rPr>
              <w:t>5</w:t>
            </w:r>
            <w:r>
              <w:rPr>
                <w:color w:val="auto"/>
                <w:spacing w:val="-7"/>
                <w:sz w:val="21"/>
              </w:rPr>
              <w:t xml:space="preserve"> 万元以下罚款；拒不改</w:t>
            </w:r>
          </w:p>
          <w:p w14:paraId="4585E346">
            <w:pPr>
              <w:pStyle w:val="8"/>
              <w:spacing w:before="2" w:line="242" w:lineRule="auto"/>
              <w:ind w:left="107" w:right="97"/>
              <w:jc w:val="both"/>
              <w:rPr>
                <w:color w:val="auto"/>
                <w:sz w:val="21"/>
              </w:rPr>
            </w:pPr>
            <w:r>
              <w:rPr>
                <w:color w:val="auto"/>
                <w:spacing w:val="-11"/>
                <w:sz w:val="21"/>
              </w:rPr>
              <w:t xml:space="preserve">正的，处 </w:t>
            </w:r>
            <w:r>
              <w:rPr>
                <w:color w:val="auto"/>
                <w:sz w:val="21"/>
              </w:rPr>
              <w:t>5</w:t>
            </w:r>
            <w:r>
              <w:rPr>
                <w:color w:val="auto"/>
                <w:spacing w:val="-15"/>
                <w:sz w:val="21"/>
              </w:rPr>
              <w:t xml:space="preserve"> 万元以上 </w:t>
            </w:r>
            <w:r>
              <w:rPr>
                <w:color w:val="auto"/>
                <w:sz w:val="21"/>
              </w:rPr>
              <w:t>10</w:t>
            </w:r>
            <w:r>
              <w:rPr>
                <w:color w:val="auto"/>
                <w:spacing w:val="-10"/>
                <w:sz w:val="21"/>
              </w:rPr>
              <w:t xml:space="preserve"> 万元以下罚款；情节严重的，责令停产停业，直至由原发证部门吊销医疗器械生产许可证、医疗器械经营</w:t>
            </w:r>
            <w:r>
              <w:rPr>
                <w:color w:val="auto"/>
                <w:spacing w:val="-11"/>
                <w:sz w:val="21"/>
              </w:rPr>
              <w:t>许可证，对违法单位的法定代表人、主要负责人、直接负责的主管人员和其他责任人员，没收违法行为发生期间自本单位所获收</w:t>
            </w:r>
            <w:r>
              <w:rPr>
                <w:color w:val="auto"/>
                <w:spacing w:val="-9"/>
                <w:sz w:val="21"/>
              </w:rPr>
              <w:t xml:space="preserve">入，并处所获收入 </w:t>
            </w:r>
            <w:r>
              <w:rPr>
                <w:color w:val="auto"/>
                <w:sz w:val="21"/>
              </w:rPr>
              <w:t>30</w:t>
            </w:r>
            <w:r>
              <w:rPr>
                <w:color w:val="auto"/>
                <w:spacing w:val="-15"/>
                <w:sz w:val="21"/>
              </w:rPr>
              <w:t xml:space="preserve">%以上 </w:t>
            </w:r>
            <w:r>
              <w:rPr>
                <w:color w:val="auto"/>
                <w:sz w:val="21"/>
              </w:rPr>
              <w:t>2</w:t>
            </w:r>
            <w:r>
              <w:rPr>
                <w:color w:val="auto"/>
                <w:spacing w:val="-10"/>
                <w:sz w:val="21"/>
              </w:rPr>
              <w:t xml:space="preserve"> 倍以下罚款，</w:t>
            </w:r>
            <w:r>
              <w:rPr>
                <w:color w:val="auto"/>
                <w:sz w:val="21"/>
              </w:rPr>
              <w:t>5</w:t>
            </w:r>
            <w:r>
              <w:rPr>
                <w:color w:val="auto"/>
                <w:spacing w:val="-9"/>
                <w:sz w:val="21"/>
              </w:rPr>
              <w:t xml:space="preserve"> 年内禁止其从事医疗器械生产经营活动。</w:t>
            </w:r>
          </w:p>
        </w:tc>
      </w:tr>
      <w:tr w14:paraId="7BEDC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continue"/>
            <w:tcBorders>
              <w:top w:val="nil"/>
            </w:tcBorders>
            <w:vAlign w:val="top"/>
          </w:tcPr>
          <w:p w14:paraId="00FA3534">
            <w:pPr>
              <w:jc w:val="both"/>
              <w:rPr>
                <w:color w:val="auto"/>
                <w:sz w:val="2"/>
                <w:szCs w:val="2"/>
              </w:rPr>
            </w:pPr>
          </w:p>
        </w:tc>
        <w:tc>
          <w:tcPr>
            <w:tcW w:w="1184" w:type="dxa"/>
            <w:gridSpan w:val="2"/>
            <w:vAlign w:val="top"/>
          </w:tcPr>
          <w:p w14:paraId="4C54C451">
            <w:pPr>
              <w:pStyle w:val="8"/>
              <w:spacing w:before="149"/>
              <w:ind w:left="170"/>
              <w:jc w:val="both"/>
              <w:rPr>
                <w:b/>
                <w:color w:val="auto"/>
                <w:sz w:val="21"/>
              </w:rPr>
            </w:pPr>
            <w:r>
              <w:rPr>
                <w:b/>
                <w:color w:val="auto"/>
                <w:sz w:val="21"/>
              </w:rPr>
              <w:t>裁量等级</w:t>
            </w:r>
          </w:p>
        </w:tc>
        <w:tc>
          <w:tcPr>
            <w:tcW w:w="2715" w:type="dxa"/>
            <w:vAlign w:val="top"/>
          </w:tcPr>
          <w:p w14:paraId="2465B683">
            <w:pPr>
              <w:pStyle w:val="8"/>
              <w:spacing w:before="149"/>
              <w:ind w:left="107"/>
              <w:jc w:val="both"/>
              <w:rPr>
                <w:b/>
                <w:color w:val="auto"/>
                <w:sz w:val="21"/>
              </w:rPr>
            </w:pPr>
            <w:r>
              <w:rPr>
                <w:b/>
                <w:color w:val="auto"/>
                <w:sz w:val="21"/>
              </w:rPr>
              <w:t>减轻</w:t>
            </w:r>
          </w:p>
        </w:tc>
        <w:tc>
          <w:tcPr>
            <w:tcW w:w="2714" w:type="dxa"/>
            <w:vAlign w:val="top"/>
          </w:tcPr>
          <w:p w14:paraId="6CED3467">
            <w:pPr>
              <w:pStyle w:val="8"/>
              <w:spacing w:before="149"/>
              <w:ind w:left="107"/>
              <w:jc w:val="both"/>
              <w:rPr>
                <w:b/>
                <w:color w:val="auto"/>
                <w:sz w:val="21"/>
              </w:rPr>
            </w:pPr>
            <w:r>
              <w:rPr>
                <w:b/>
                <w:color w:val="auto"/>
                <w:sz w:val="21"/>
              </w:rPr>
              <w:t>从轻</w:t>
            </w:r>
          </w:p>
        </w:tc>
        <w:tc>
          <w:tcPr>
            <w:tcW w:w="2717" w:type="dxa"/>
            <w:vAlign w:val="top"/>
          </w:tcPr>
          <w:p w14:paraId="59BEB923">
            <w:pPr>
              <w:pStyle w:val="8"/>
              <w:spacing w:before="149"/>
              <w:ind w:left="107"/>
              <w:jc w:val="both"/>
              <w:rPr>
                <w:b/>
                <w:color w:val="auto"/>
                <w:sz w:val="21"/>
              </w:rPr>
            </w:pPr>
            <w:r>
              <w:rPr>
                <w:b/>
                <w:color w:val="auto"/>
                <w:sz w:val="21"/>
              </w:rPr>
              <w:t>一般</w:t>
            </w:r>
          </w:p>
        </w:tc>
        <w:tc>
          <w:tcPr>
            <w:tcW w:w="3900" w:type="dxa"/>
            <w:vAlign w:val="top"/>
          </w:tcPr>
          <w:p w14:paraId="082034C4">
            <w:pPr>
              <w:pStyle w:val="8"/>
              <w:spacing w:before="149"/>
              <w:ind w:left="105"/>
              <w:jc w:val="both"/>
              <w:rPr>
                <w:b/>
                <w:color w:val="auto"/>
                <w:sz w:val="21"/>
              </w:rPr>
            </w:pPr>
            <w:r>
              <w:rPr>
                <w:b/>
                <w:color w:val="auto"/>
                <w:sz w:val="21"/>
              </w:rPr>
              <w:t>从重</w:t>
            </w:r>
          </w:p>
        </w:tc>
      </w:tr>
      <w:tr w14:paraId="062B6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40C0526C">
            <w:pPr>
              <w:jc w:val="both"/>
              <w:rPr>
                <w:color w:val="auto"/>
                <w:sz w:val="2"/>
                <w:szCs w:val="2"/>
              </w:rPr>
            </w:pPr>
          </w:p>
        </w:tc>
        <w:tc>
          <w:tcPr>
            <w:tcW w:w="1184" w:type="dxa"/>
            <w:gridSpan w:val="2"/>
            <w:vAlign w:val="top"/>
          </w:tcPr>
          <w:p w14:paraId="0D2882EA">
            <w:pPr>
              <w:pStyle w:val="8"/>
              <w:spacing w:before="3"/>
              <w:jc w:val="both"/>
              <w:rPr>
                <w:rFonts w:ascii="Times New Roman"/>
                <w:color w:val="auto"/>
                <w:sz w:val="20"/>
              </w:rPr>
            </w:pPr>
          </w:p>
          <w:p w14:paraId="7C1E8736">
            <w:pPr>
              <w:pStyle w:val="8"/>
              <w:spacing w:before="1"/>
              <w:ind w:left="170"/>
              <w:jc w:val="both"/>
              <w:rPr>
                <w:b/>
                <w:color w:val="auto"/>
                <w:sz w:val="21"/>
              </w:rPr>
            </w:pPr>
            <w:r>
              <w:rPr>
                <w:b/>
                <w:color w:val="auto"/>
                <w:sz w:val="21"/>
              </w:rPr>
              <w:t>裁量情节</w:t>
            </w:r>
          </w:p>
        </w:tc>
        <w:tc>
          <w:tcPr>
            <w:tcW w:w="2715" w:type="dxa"/>
            <w:vAlign w:val="top"/>
          </w:tcPr>
          <w:p w14:paraId="289C31E8">
            <w:pPr>
              <w:pStyle w:val="8"/>
              <w:spacing w:before="97" w:line="242" w:lineRule="auto"/>
              <w:ind w:left="107" w:right="98"/>
              <w:jc w:val="both"/>
              <w:rPr>
                <w:color w:val="auto"/>
                <w:sz w:val="21"/>
              </w:rPr>
            </w:pPr>
            <w:r>
              <w:rPr>
                <w:color w:val="auto"/>
                <w:sz w:val="21"/>
              </w:rPr>
              <w:t>符合裁量规定减轻行政处罚情形的。</w:t>
            </w:r>
          </w:p>
        </w:tc>
        <w:tc>
          <w:tcPr>
            <w:tcW w:w="2714" w:type="dxa"/>
            <w:vAlign w:val="top"/>
          </w:tcPr>
          <w:p w14:paraId="005E4F29">
            <w:pPr>
              <w:pStyle w:val="8"/>
              <w:spacing w:before="97" w:line="242" w:lineRule="auto"/>
              <w:ind w:left="107" w:right="95"/>
              <w:jc w:val="both"/>
              <w:rPr>
                <w:color w:val="auto"/>
                <w:sz w:val="21"/>
              </w:rPr>
            </w:pPr>
            <w:r>
              <w:rPr>
                <w:color w:val="auto"/>
                <w:sz w:val="21"/>
              </w:rPr>
              <w:t>符合裁量规定从轻行政处罚情形的。</w:t>
            </w:r>
          </w:p>
        </w:tc>
        <w:tc>
          <w:tcPr>
            <w:tcW w:w="2717" w:type="dxa"/>
            <w:vAlign w:val="top"/>
          </w:tcPr>
          <w:p w14:paraId="12BE7E70">
            <w:pPr>
              <w:pStyle w:val="8"/>
              <w:spacing w:before="97" w:line="242" w:lineRule="auto"/>
              <w:ind w:left="107" w:right="98"/>
              <w:jc w:val="both"/>
              <w:rPr>
                <w:color w:val="auto"/>
                <w:sz w:val="21"/>
              </w:rPr>
            </w:pPr>
            <w:r>
              <w:rPr>
                <w:color w:val="auto"/>
                <w:sz w:val="21"/>
              </w:rPr>
              <w:t>符合裁量规定一般行政处罚情形的。</w:t>
            </w:r>
          </w:p>
        </w:tc>
        <w:tc>
          <w:tcPr>
            <w:tcW w:w="3900" w:type="dxa"/>
            <w:vAlign w:val="top"/>
          </w:tcPr>
          <w:p w14:paraId="70404941">
            <w:pPr>
              <w:pStyle w:val="8"/>
              <w:spacing w:before="3"/>
              <w:jc w:val="both"/>
              <w:rPr>
                <w:rFonts w:ascii="Times New Roman"/>
                <w:color w:val="auto"/>
                <w:sz w:val="20"/>
              </w:rPr>
            </w:pPr>
          </w:p>
          <w:p w14:paraId="286F6C7F">
            <w:pPr>
              <w:pStyle w:val="8"/>
              <w:spacing w:before="1"/>
              <w:ind w:left="105"/>
              <w:jc w:val="both"/>
              <w:rPr>
                <w:color w:val="auto"/>
                <w:sz w:val="21"/>
              </w:rPr>
            </w:pPr>
            <w:r>
              <w:rPr>
                <w:color w:val="auto"/>
                <w:sz w:val="21"/>
              </w:rPr>
              <w:t>符合裁量规定从重行政处罚情形的。</w:t>
            </w:r>
          </w:p>
        </w:tc>
      </w:tr>
      <w:tr w14:paraId="0C960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trPr>
        <w:tc>
          <w:tcPr>
            <w:tcW w:w="562" w:type="dxa"/>
            <w:vMerge w:val="continue"/>
            <w:tcBorders>
              <w:top w:val="nil"/>
            </w:tcBorders>
            <w:vAlign w:val="top"/>
          </w:tcPr>
          <w:p w14:paraId="739D6A43">
            <w:pPr>
              <w:jc w:val="both"/>
              <w:rPr>
                <w:color w:val="auto"/>
                <w:sz w:val="2"/>
                <w:szCs w:val="2"/>
              </w:rPr>
            </w:pPr>
          </w:p>
        </w:tc>
        <w:tc>
          <w:tcPr>
            <w:tcW w:w="646" w:type="dxa"/>
            <w:vMerge w:val="restart"/>
            <w:vAlign w:val="top"/>
          </w:tcPr>
          <w:p w14:paraId="0604DDC2">
            <w:pPr>
              <w:pStyle w:val="8"/>
              <w:jc w:val="both"/>
              <w:rPr>
                <w:rFonts w:ascii="Times New Roman"/>
                <w:color w:val="auto"/>
                <w:sz w:val="20"/>
              </w:rPr>
            </w:pPr>
          </w:p>
          <w:p w14:paraId="272BE656">
            <w:pPr>
              <w:pStyle w:val="8"/>
              <w:jc w:val="both"/>
              <w:rPr>
                <w:rFonts w:ascii="Times New Roman"/>
                <w:color w:val="auto"/>
                <w:sz w:val="20"/>
              </w:rPr>
            </w:pPr>
          </w:p>
          <w:p w14:paraId="7F263D65">
            <w:pPr>
              <w:pStyle w:val="8"/>
              <w:jc w:val="both"/>
              <w:rPr>
                <w:rFonts w:ascii="Times New Roman"/>
                <w:color w:val="auto"/>
                <w:sz w:val="20"/>
              </w:rPr>
            </w:pPr>
          </w:p>
          <w:p w14:paraId="1224903D">
            <w:pPr>
              <w:pStyle w:val="8"/>
              <w:jc w:val="both"/>
              <w:rPr>
                <w:rFonts w:ascii="Times New Roman"/>
                <w:color w:val="auto"/>
                <w:sz w:val="20"/>
              </w:rPr>
            </w:pPr>
          </w:p>
          <w:p w14:paraId="4E991AB2">
            <w:pPr>
              <w:pStyle w:val="8"/>
              <w:jc w:val="both"/>
              <w:rPr>
                <w:rFonts w:ascii="Times New Roman"/>
                <w:color w:val="auto"/>
                <w:sz w:val="20"/>
              </w:rPr>
            </w:pPr>
          </w:p>
          <w:p w14:paraId="3A2490B3">
            <w:pPr>
              <w:pStyle w:val="8"/>
              <w:jc w:val="both"/>
              <w:rPr>
                <w:rFonts w:ascii="Times New Roman"/>
                <w:color w:val="auto"/>
                <w:sz w:val="20"/>
              </w:rPr>
            </w:pPr>
          </w:p>
          <w:p w14:paraId="6B49F487">
            <w:pPr>
              <w:pStyle w:val="8"/>
              <w:spacing w:before="167" w:line="244" w:lineRule="auto"/>
              <w:ind w:left="110" w:right="101"/>
              <w:jc w:val="both"/>
              <w:rPr>
                <w:b/>
                <w:color w:val="auto"/>
                <w:sz w:val="21"/>
              </w:rPr>
            </w:pPr>
            <w:r>
              <w:rPr>
                <w:b/>
                <w:color w:val="auto"/>
                <w:sz w:val="21"/>
              </w:rPr>
              <w:t>裁量基准</w:t>
            </w:r>
          </w:p>
        </w:tc>
        <w:tc>
          <w:tcPr>
            <w:tcW w:w="538" w:type="dxa"/>
            <w:vAlign w:val="top"/>
          </w:tcPr>
          <w:p w14:paraId="044648FB">
            <w:pPr>
              <w:pStyle w:val="8"/>
              <w:jc w:val="both"/>
              <w:rPr>
                <w:rFonts w:ascii="Times New Roman"/>
                <w:color w:val="auto"/>
                <w:sz w:val="20"/>
              </w:rPr>
            </w:pPr>
          </w:p>
          <w:p w14:paraId="0288147B">
            <w:pPr>
              <w:pStyle w:val="8"/>
              <w:spacing w:before="133" w:line="242" w:lineRule="auto"/>
              <w:ind w:left="162" w:right="152"/>
              <w:jc w:val="both"/>
              <w:rPr>
                <w:b/>
                <w:color w:val="auto"/>
                <w:sz w:val="21"/>
              </w:rPr>
            </w:pPr>
            <w:r>
              <w:rPr>
                <w:b/>
                <w:color w:val="auto"/>
                <w:sz w:val="21"/>
              </w:rPr>
              <w:t>一般情形</w:t>
            </w:r>
          </w:p>
        </w:tc>
        <w:tc>
          <w:tcPr>
            <w:tcW w:w="2715" w:type="dxa"/>
            <w:vAlign w:val="top"/>
          </w:tcPr>
          <w:p w14:paraId="66A376F5">
            <w:pPr>
              <w:pStyle w:val="8"/>
              <w:jc w:val="both"/>
              <w:rPr>
                <w:rFonts w:ascii="Times New Roman"/>
                <w:color w:val="auto"/>
                <w:sz w:val="20"/>
              </w:rPr>
            </w:pPr>
          </w:p>
          <w:p w14:paraId="024F47C6">
            <w:pPr>
              <w:pStyle w:val="8"/>
              <w:spacing w:before="6"/>
              <w:jc w:val="both"/>
              <w:rPr>
                <w:rFonts w:ascii="Times New Roman"/>
                <w:color w:val="auto"/>
                <w:sz w:val="23"/>
              </w:rPr>
            </w:pPr>
          </w:p>
          <w:p w14:paraId="37681064">
            <w:pPr>
              <w:pStyle w:val="8"/>
              <w:spacing w:before="2"/>
              <w:ind w:left="107"/>
              <w:jc w:val="both"/>
              <w:rPr>
                <w:color w:val="auto"/>
                <w:spacing w:val="-9"/>
                <w:sz w:val="21"/>
              </w:rPr>
            </w:pPr>
            <w:r>
              <w:rPr>
                <w:color w:val="auto"/>
                <w:spacing w:val="-9"/>
                <w:sz w:val="21"/>
              </w:rPr>
              <w:t>处 0.1 万元以上 1 万元以下</w:t>
            </w:r>
          </w:p>
          <w:p w14:paraId="1688301D">
            <w:pPr>
              <w:pStyle w:val="8"/>
              <w:spacing w:before="2"/>
              <w:ind w:left="107"/>
              <w:jc w:val="both"/>
              <w:rPr>
                <w:color w:val="auto"/>
                <w:sz w:val="21"/>
              </w:rPr>
            </w:pPr>
            <w:r>
              <w:rPr>
                <w:color w:val="auto"/>
                <w:spacing w:val="-9"/>
                <w:sz w:val="21"/>
              </w:rPr>
              <w:t>罚款；拒不改正的，</w:t>
            </w:r>
            <w:r>
              <w:rPr>
                <w:rFonts w:hint="eastAsia"/>
                <w:color w:val="auto"/>
                <w:spacing w:val="-9"/>
                <w:sz w:val="21"/>
                <w:lang w:eastAsia="zh-CN"/>
              </w:rPr>
              <w:t>不能减轻</w:t>
            </w:r>
            <w:r>
              <w:rPr>
                <w:rFonts w:hint="eastAsia"/>
                <w:color w:val="auto"/>
                <w:spacing w:val="-4"/>
                <w:sz w:val="21"/>
                <w:lang w:eastAsia="zh-CN"/>
              </w:rPr>
              <w:t>。</w:t>
            </w:r>
          </w:p>
        </w:tc>
        <w:tc>
          <w:tcPr>
            <w:tcW w:w="2714" w:type="dxa"/>
            <w:vAlign w:val="top"/>
          </w:tcPr>
          <w:p w14:paraId="37ABC40F">
            <w:pPr>
              <w:pStyle w:val="8"/>
              <w:jc w:val="both"/>
              <w:rPr>
                <w:rFonts w:ascii="Times New Roman"/>
                <w:color w:val="auto"/>
                <w:sz w:val="20"/>
              </w:rPr>
            </w:pPr>
          </w:p>
          <w:p w14:paraId="4B2D3F5B">
            <w:pPr>
              <w:pStyle w:val="8"/>
              <w:spacing w:before="6"/>
              <w:jc w:val="both"/>
              <w:rPr>
                <w:rFonts w:ascii="Times New Roman"/>
                <w:color w:val="auto"/>
                <w:sz w:val="23"/>
              </w:rPr>
            </w:pPr>
          </w:p>
          <w:p w14:paraId="4A4C3337">
            <w:pPr>
              <w:pStyle w:val="8"/>
              <w:ind w:left="107"/>
              <w:jc w:val="both"/>
              <w:rPr>
                <w:color w:val="auto"/>
                <w:sz w:val="21"/>
              </w:rPr>
            </w:pPr>
            <w:r>
              <w:rPr>
                <w:color w:val="auto"/>
                <w:spacing w:val="-28"/>
                <w:sz w:val="21"/>
              </w:rPr>
              <w:t xml:space="preserve">处 </w:t>
            </w:r>
            <w:r>
              <w:rPr>
                <w:color w:val="auto"/>
                <w:sz w:val="21"/>
              </w:rPr>
              <w:t>1</w:t>
            </w:r>
            <w:r>
              <w:rPr>
                <w:color w:val="auto"/>
                <w:spacing w:val="-21"/>
                <w:sz w:val="21"/>
              </w:rPr>
              <w:t xml:space="preserve"> 万元以上 </w:t>
            </w:r>
            <w:r>
              <w:rPr>
                <w:color w:val="auto"/>
                <w:sz w:val="21"/>
              </w:rPr>
              <w:t>2.2</w:t>
            </w:r>
            <w:r>
              <w:rPr>
                <w:color w:val="auto"/>
                <w:spacing w:val="-13"/>
                <w:sz w:val="21"/>
              </w:rPr>
              <w:t xml:space="preserve"> 万元以下</w:t>
            </w:r>
          </w:p>
          <w:p w14:paraId="393C86EE">
            <w:pPr>
              <w:pStyle w:val="8"/>
              <w:spacing w:before="2"/>
              <w:ind w:left="107"/>
              <w:jc w:val="both"/>
              <w:rPr>
                <w:color w:val="auto"/>
                <w:sz w:val="21"/>
              </w:rPr>
            </w:pPr>
            <w:r>
              <w:rPr>
                <w:color w:val="auto"/>
                <w:spacing w:val="-9"/>
                <w:sz w:val="21"/>
              </w:rPr>
              <w:t xml:space="preserve">罚款；拒不改正的，处 </w:t>
            </w:r>
            <w:r>
              <w:rPr>
                <w:color w:val="auto"/>
                <w:sz w:val="21"/>
              </w:rPr>
              <w:t>5</w:t>
            </w:r>
            <w:r>
              <w:rPr>
                <w:color w:val="auto"/>
                <w:spacing w:val="-25"/>
                <w:sz w:val="21"/>
              </w:rPr>
              <w:t xml:space="preserve"> 万</w:t>
            </w:r>
          </w:p>
          <w:p w14:paraId="354A9579">
            <w:pPr>
              <w:pStyle w:val="8"/>
              <w:spacing w:before="5"/>
              <w:ind w:left="107"/>
              <w:jc w:val="both"/>
              <w:rPr>
                <w:color w:val="auto"/>
                <w:sz w:val="21"/>
              </w:rPr>
            </w:pPr>
            <w:r>
              <w:rPr>
                <w:color w:val="auto"/>
                <w:spacing w:val="-13"/>
                <w:sz w:val="21"/>
              </w:rPr>
              <w:t xml:space="preserve">元以上 </w:t>
            </w:r>
            <w:r>
              <w:rPr>
                <w:color w:val="auto"/>
                <w:sz w:val="21"/>
              </w:rPr>
              <w:t>6.5</w:t>
            </w:r>
            <w:r>
              <w:rPr>
                <w:color w:val="auto"/>
                <w:spacing w:val="-8"/>
                <w:sz w:val="21"/>
              </w:rPr>
              <w:t xml:space="preserve"> 万元以下罚款。</w:t>
            </w:r>
          </w:p>
        </w:tc>
        <w:tc>
          <w:tcPr>
            <w:tcW w:w="2717" w:type="dxa"/>
            <w:vAlign w:val="top"/>
          </w:tcPr>
          <w:p w14:paraId="2E3C539A">
            <w:pPr>
              <w:pStyle w:val="8"/>
              <w:jc w:val="both"/>
              <w:rPr>
                <w:rFonts w:ascii="Times New Roman"/>
                <w:color w:val="auto"/>
                <w:sz w:val="20"/>
              </w:rPr>
            </w:pPr>
          </w:p>
          <w:p w14:paraId="6319CD2A">
            <w:pPr>
              <w:pStyle w:val="8"/>
              <w:spacing w:before="133"/>
              <w:ind w:left="107"/>
              <w:jc w:val="both"/>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w:t>
            </w:r>
          </w:p>
          <w:p w14:paraId="17E02FE2">
            <w:pPr>
              <w:pStyle w:val="8"/>
              <w:spacing w:before="3"/>
              <w:ind w:left="107"/>
              <w:jc w:val="both"/>
              <w:rPr>
                <w:color w:val="auto"/>
                <w:sz w:val="21"/>
              </w:rPr>
            </w:pPr>
            <w:r>
              <w:rPr>
                <w:color w:val="auto"/>
                <w:spacing w:val="-22"/>
                <w:sz w:val="21"/>
              </w:rPr>
              <w:t xml:space="preserve">下罚款；拒不改正的，处 </w:t>
            </w:r>
            <w:r>
              <w:rPr>
                <w:color w:val="auto"/>
                <w:sz w:val="21"/>
              </w:rPr>
              <w:t>6.5</w:t>
            </w:r>
          </w:p>
          <w:p w14:paraId="0FFC37A7">
            <w:pPr>
              <w:pStyle w:val="8"/>
              <w:spacing w:before="4" w:line="242" w:lineRule="auto"/>
              <w:ind w:left="107" w:right="97"/>
              <w:jc w:val="both"/>
              <w:rPr>
                <w:color w:val="auto"/>
                <w:sz w:val="21"/>
              </w:rPr>
            </w:pPr>
            <w:r>
              <w:rPr>
                <w:color w:val="auto"/>
                <w:sz w:val="21"/>
              </w:rPr>
              <w:t>万元以上 8.5 万元以下罚款。</w:t>
            </w:r>
          </w:p>
        </w:tc>
        <w:tc>
          <w:tcPr>
            <w:tcW w:w="3900" w:type="dxa"/>
            <w:vAlign w:val="top"/>
          </w:tcPr>
          <w:p w14:paraId="4B6FA5B2">
            <w:pPr>
              <w:pStyle w:val="8"/>
              <w:jc w:val="both"/>
              <w:rPr>
                <w:rFonts w:ascii="Times New Roman"/>
                <w:color w:val="auto"/>
                <w:sz w:val="20"/>
              </w:rPr>
            </w:pPr>
          </w:p>
          <w:p w14:paraId="3754C4F1">
            <w:pPr>
              <w:pStyle w:val="8"/>
              <w:jc w:val="both"/>
              <w:rPr>
                <w:rFonts w:ascii="Times New Roman"/>
                <w:color w:val="auto"/>
                <w:sz w:val="20"/>
              </w:rPr>
            </w:pPr>
          </w:p>
          <w:p w14:paraId="79382C3D">
            <w:pPr>
              <w:pStyle w:val="8"/>
              <w:spacing w:before="175"/>
              <w:ind w:left="105"/>
              <w:jc w:val="both"/>
              <w:rPr>
                <w:color w:val="auto"/>
                <w:sz w:val="21"/>
              </w:rPr>
            </w:pPr>
            <w:r>
              <w:rPr>
                <w:color w:val="auto"/>
                <w:spacing w:val="-25"/>
                <w:sz w:val="21"/>
              </w:rPr>
              <w:t xml:space="preserve">处 </w:t>
            </w:r>
            <w:r>
              <w:rPr>
                <w:color w:val="auto"/>
                <w:sz w:val="21"/>
              </w:rPr>
              <w:t>3.8</w:t>
            </w:r>
            <w:r>
              <w:rPr>
                <w:color w:val="auto"/>
                <w:spacing w:val="-19"/>
                <w:sz w:val="21"/>
              </w:rPr>
              <w:t xml:space="preserve"> 万元以上 </w:t>
            </w:r>
            <w:r>
              <w:rPr>
                <w:color w:val="auto"/>
                <w:sz w:val="21"/>
              </w:rPr>
              <w:t>5</w:t>
            </w:r>
            <w:r>
              <w:rPr>
                <w:color w:val="auto"/>
                <w:spacing w:val="-17"/>
                <w:sz w:val="21"/>
              </w:rPr>
              <w:t xml:space="preserve"> 万元以下罚款；拒不改</w:t>
            </w:r>
          </w:p>
          <w:p w14:paraId="1B1160A9">
            <w:pPr>
              <w:pStyle w:val="8"/>
              <w:spacing w:before="4"/>
              <w:ind w:left="105" w:right="-15"/>
              <w:jc w:val="both"/>
              <w:rPr>
                <w:color w:val="auto"/>
                <w:sz w:val="21"/>
              </w:rPr>
            </w:pPr>
            <w:r>
              <w:rPr>
                <w:color w:val="auto"/>
                <w:spacing w:val="-31"/>
                <w:sz w:val="21"/>
              </w:rPr>
              <w:t xml:space="preserve">正的，处 </w:t>
            </w:r>
            <w:r>
              <w:rPr>
                <w:color w:val="auto"/>
                <w:sz w:val="21"/>
              </w:rPr>
              <w:t>8.5</w:t>
            </w:r>
            <w:r>
              <w:rPr>
                <w:color w:val="auto"/>
                <w:spacing w:val="-19"/>
                <w:sz w:val="21"/>
              </w:rPr>
              <w:t xml:space="preserve"> 万元以上 </w:t>
            </w:r>
            <w:r>
              <w:rPr>
                <w:color w:val="auto"/>
                <w:sz w:val="21"/>
              </w:rPr>
              <w:t>10</w:t>
            </w:r>
            <w:r>
              <w:rPr>
                <w:color w:val="auto"/>
                <w:spacing w:val="-9"/>
                <w:sz w:val="21"/>
              </w:rPr>
              <w:t xml:space="preserve"> 万元以下罚款。</w:t>
            </w:r>
          </w:p>
        </w:tc>
      </w:tr>
      <w:tr w14:paraId="3E46E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trPr>
        <w:tc>
          <w:tcPr>
            <w:tcW w:w="562" w:type="dxa"/>
            <w:vMerge w:val="continue"/>
            <w:tcBorders>
              <w:top w:val="nil"/>
            </w:tcBorders>
            <w:vAlign w:val="top"/>
          </w:tcPr>
          <w:p w14:paraId="445D1FDE">
            <w:pPr>
              <w:jc w:val="both"/>
              <w:rPr>
                <w:color w:val="auto"/>
                <w:sz w:val="2"/>
                <w:szCs w:val="2"/>
              </w:rPr>
            </w:pPr>
          </w:p>
        </w:tc>
        <w:tc>
          <w:tcPr>
            <w:tcW w:w="646" w:type="dxa"/>
            <w:vMerge w:val="continue"/>
            <w:tcBorders>
              <w:top w:val="nil"/>
            </w:tcBorders>
            <w:vAlign w:val="top"/>
          </w:tcPr>
          <w:p w14:paraId="40EA2907">
            <w:pPr>
              <w:jc w:val="both"/>
              <w:rPr>
                <w:color w:val="auto"/>
                <w:sz w:val="2"/>
                <w:szCs w:val="2"/>
              </w:rPr>
            </w:pPr>
          </w:p>
        </w:tc>
        <w:tc>
          <w:tcPr>
            <w:tcW w:w="538" w:type="dxa"/>
            <w:vAlign w:val="top"/>
          </w:tcPr>
          <w:p w14:paraId="393361C3">
            <w:pPr>
              <w:pStyle w:val="8"/>
              <w:spacing w:before="8"/>
              <w:jc w:val="both"/>
              <w:rPr>
                <w:rFonts w:ascii="Times New Roman"/>
                <w:color w:val="auto"/>
                <w:sz w:val="19"/>
              </w:rPr>
            </w:pPr>
          </w:p>
          <w:p w14:paraId="7C6F4CE6">
            <w:pPr>
              <w:pStyle w:val="8"/>
              <w:spacing w:line="242" w:lineRule="auto"/>
              <w:ind w:left="162" w:right="152"/>
              <w:jc w:val="both"/>
              <w:rPr>
                <w:b/>
                <w:color w:val="auto"/>
                <w:sz w:val="21"/>
              </w:rPr>
            </w:pPr>
            <w:r>
              <w:rPr>
                <w:b/>
                <w:color w:val="auto"/>
                <w:sz w:val="21"/>
              </w:rPr>
              <w:t>情节严重的</w:t>
            </w:r>
          </w:p>
        </w:tc>
        <w:tc>
          <w:tcPr>
            <w:tcW w:w="2715" w:type="dxa"/>
            <w:vAlign w:val="top"/>
          </w:tcPr>
          <w:p w14:paraId="5B71A8CB">
            <w:pPr>
              <w:pStyle w:val="8"/>
              <w:jc w:val="both"/>
              <w:rPr>
                <w:rFonts w:ascii="Times New Roman"/>
                <w:color w:val="auto"/>
                <w:sz w:val="20"/>
              </w:rPr>
            </w:pPr>
          </w:p>
        </w:tc>
        <w:tc>
          <w:tcPr>
            <w:tcW w:w="2714" w:type="dxa"/>
            <w:vAlign w:val="top"/>
          </w:tcPr>
          <w:p w14:paraId="519C0A81">
            <w:pPr>
              <w:pStyle w:val="8"/>
              <w:jc w:val="both"/>
              <w:rPr>
                <w:rFonts w:ascii="Times New Roman"/>
                <w:color w:val="auto"/>
                <w:sz w:val="20"/>
              </w:rPr>
            </w:pPr>
          </w:p>
          <w:p w14:paraId="6959FE5E">
            <w:pPr>
              <w:pStyle w:val="8"/>
              <w:spacing w:before="133" w:line="242" w:lineRule="auto"/>
              <w:ind w:left="107" w:right="93"/>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463E2853">
            <w:pPr>
              <w:pStyle w:val="8"/>
              <w:spacing w:before="1"/>
              <w:ind w:left="107"/>
              <w:jc w:val="both"/>
              <w:rPr>
                <w:color w:val="auto"/>
                <w:sz w:val="21"/>
              </w:rPr>
            </w:pPr>
            <w:r>
              <w:rPr>
                <w:color w:val="auto"/>
                <w:sz w:val="21"/>
              </w:rPr>
              <w:t>0.3</w:t>
            </w:r>
            <w:r>
              <w:rPr>
                <w:color w:val="auto"/>
                <w:spacing w:val="-13"/>
                <w:sz w:val="21"/>
              </w:rPr>
              <w:t xml:space="preserve"> 倍以上</w:t>
            </w:r>
            <w:r>
              <w:rPr>
                <w:color w:val="auto"/>
                <w:sz w:val="21"/>
              </w:rPr>
              <w:t>0.8</w:t>
            </w:r>
            <w:r>
              <w:rPr>
                <w:rFonts w:hint="eastAsia"/>
                <w:color w:val="auto"/>
                <w:sz w:val="21"/>
                <w:lang w:val="en-US" w:eastAsia="zh-CN"/>
              </w:rPr>
              <w:t>1</w:t>
            </w:r>
            <w:r>
              <w:rPr>
                <w:color w:val="auto"/>
                <w:spacing w:val="-16"/>
                <w:sz w:val="21"/>
              </w:rPr>
              <w:t xml:space="preserve"> 倍以下罚款。</w:t>
            </w:r>
          </w:p>
        </w:tc>
        <w:tc>
          <w:tcPr>
            <w:tcW w:w="2717" w:type="dxa"/>
            <w:vAlign w:val="top"/>
          </w:tcPr>
          <w:p w14:paraId="50DE503C">
            <w:pPr>
              <w:pStyle w:val="8"/>
              <w:jc w:val="both"/>
              <w:rPr>
                <w:rFonts w:ascii="Times New Roman"/>
                <w:color w:val="auto"/>
                <w:sz w:val="20"/>
              </w:rPr>
            </w:pPr>
          </w:p>
          <w:p w14:paraId="747196E1">
            <w:pPr>
              <w:pStyle w:val="8"/>
              <w:spacing w:before="133" w:line="242" w:lineRule="auto"/>
              <w:ind w:left="107" w:right="96"/>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14:paraId="0351577C">
            <w:pPr>
              <w:pStyle w:val="8"/>
              <w:spacing w:before="1"/>
              <w:ind w:left="107"/>
              <w:jc w:val="both"/>
              <w:rPr>
                <w:color w:val="auto"/>
                <w:sz w:val="21"/>
              </w:rPr>
            </w:pPr>
            <w:r>
              <w:rPr>
                <w:color w:val="auto"/>
                <w:sz w:val="21"/>
              </w:rPr>
              <w:t>0.8</w:t>
            </w:r>
            <w:r>
              <w:rPr>
                <w:rFonts w:hint="eastAsia"/>
                <w:color w:val="auto"/>
                <w:sz w:val="21"/>
                <w:lang w:val="en-US" w:eastAsia="zh-CN"/>
              </w:rPr>
              <w:t>1</w:t>
            </w:r>
            <w:r>
              <w:rPr>
                <w:color w:val="auto"/>
                <w:spacing w:val="-13"/>
                <w:sz w:val="21"/>
              </w:rPr>
              <w:t xml:space="preserve"> 倍以上</w:t>
            </w:r>
            <w:r>
              <w:rPr>
                <w:color w:val="auto"/>
                <w:sz w:val="21"/>
              </w:rPr>
              <w:t>1.</w:t>
            </w:r>
            <w:r>
              <w:rPr>
                <w:rFonts w:hint="eastAsia"/>
                <w:color w:val="auto"/>
                <w:sz w:val="21"/>
                <w:lang w:val="en-US" w:eastAsia="zh-CN"/>
              </w:rPr>
              <w:t>49</w:t>
            </w:r>
            <w:r>
              <w:rPr>
                <w:color w:val="auto"/>
                <w:spacing w:val="-16"/>
                <w:sz w:val="21"/>
              </w:rPr>
              <w:t xml:space="preserve"> 倍以下罚款。</w:t>
            </w:r>
          </w:p>
        </w:tc>
        <w:tc>
          <w:tcPr>
            <w:tcW w:w="3900" w:type="dxa"/>
            <w:vAlign w:val="top"/>
          </w:tcPr>
          <w:p w14:paraId="05DB3BE9">
            <w:pPr>
              <w:pStyle w:val="8"/>
              <w:jc w:val="both"/>
              <w:rPr>
                <w:rFonts w:ascii="Times New Roman"/>
                <w:color w:val="auto"/>
                <w:sz w:val="20"/>
              </w:rPr>
            </w:pPr>
          </w:p>
          <w:p w14:paraId="52E35076">
            <w:pPr>
              <w:pStyle w:val="8"/>
              <w:spacing w:before="5"/>
              <w:jc w:val="both"/>
              <w:rPr>
                <w:rFonts w:ascii="Times New Roman"/>
                <w:color w:val="auto"/>
                <w:sz w:val="23"/>
              </w:rPr>
            </w:pPr>
          </w:p>
          <w:p w14:paraId="29E58D03">
            <w:pPr>
              <w:pStyle w:val="8"/>
              <w:spacing w:line="242" w:lineRule="auto"/>
              <w:ind w:left="105" w:right="93"/>
              <w:jc w:val="both"/>
              <w:rPr>
                <w:color w:val="auto"/>
                <w:sz w:val="21"/>
              </w:rPr>
            </w:pPr>
            <w:r>
              <w:rPr>
                <w:color w:val="auto"/>
                <w:spacing w:val="-13"/>
                <w:sz w:val="21"/>
              </w:rPr>
              <w:t>对法定代表人、主要负责人、直接负责的</w:t>
            </w:r>
            <w:r>
              <w:rPr>
                <w:color w:val="auto"/>
                <w:spacing w:val="17"/>
                <w:sz w:val="21"/>
              </w:rPr>
              <w:t>主管人员和其他责任人员处所获收入</w:t>
            </w:r>
          </w:p>
          <w:p w14:paraId="5D315043">
            <w:pPr>
              <w:pStyle w:val="8"/>
              <w:spacing w:before="2"/>
              <w:ind w:left="105"/>
              <w:jc w:val="both"/>
              <w:rPr>
                <w:color w:val="auto"/>
                <w:sz w:val="21"/>
              </w:rPr>
            </w:pPr>
            <w:r>
              <w:rPr>
                <w:color w:val="auto"/>
                <w:sz w:val="21"/>
              </w:rPr>
              <w:t>1.</w:t>
            </w:r>
            <w:r>
              <w:rPr>
                <w:rFonts w:hint="eastAsia"/>
                <w:color w:val="auto"/>
                <w:sz w:val="21"/>
                <w:lang w:val="en-US" w:eastAsia="zh-CN"/>
              </w:rPr>
              <w:t>49</w:t>
            </w:r>
            <w:r>
              <w:rPr>
                <w:color w:val="auto"/>
                <w:sz w:val="21"/>
              </w:rPr>
              <w:t xml:space="preserve"> 倍以上 2 倍以下罚款。</w:t>
            </w:r>
          </w:p>
        </w:tc>
      </w:tr>
    </w:tbl>
    <w:p w14:paraId="1DFF4B14">
      <w:pPr>
        <w:pStyle w:val="4"/>
        <w:jc w:val="both"/>
        <w:rPr>
          <w:rFonts w:ascii="Times New Roman"/>
          <w:color w:val="auto"/>
          <w:sz w:val="20"/>
        </w:rPr>
      </w:pPr>
    </w:p>
    <w:p w14:paraId="0A79C282">
      <w:pPr>
        <w:pStyle w:val="4"/>
        <w:jc w:val="both"/>
        <w:rPr>
          <w:rFonts w:ascii="Times New Roman"/>
          <w:color w:val="auto"/>
          <w:sz w:val="20"/>
        </w:rPr>
      </w:pPr>
    </w:p>
    <w:p w14:paraId="1A836126">
      <w:pPr>
        <w:pStyle w:val="4"/>
        <w:jc w:val="both"/>
        <w:rPr>
          <w:rFonts w:ascii="Times New Roman"/>
          <w:color w:val="auto"/>
          <w:sz w:val="20"/>
        </w:rPr>
      </w:pPr>
    </w:p>
    <w:p w14:paraId="4C7F6E26">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pPr w:leftFromText="180" w:rightFromText="180" w:vertAnchor="text" w:horzAnchor="page" w:tblpX="1524" w:tblpY="311"/>
        <w:tblOverlap w:val="never"/>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487"/>
        <w:gridCol w:w="696"/>
        <w:gridCol w:w="2715"/>
        <w:gridCol w:w="2714"/>
        <w:gridCol w:w="2717"/>
        <w:gridCol w:w="3900"/>
      </w:tblGrid>
      <w:tr w14:paraId="775B2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8" w:hRule="atLeast"/>
        </w:trPr>
        <w:tc>
          <w:tcPr>
            <w:tcW w:w="562" w:type="dxa"/>
            <w:vMerge w:val="restart"/>
            <w:vAlign w:val="top"/>
          </w:tcPr>
          <w:p w14:paraId="4CC269E9">
            <w:pPr>
              <w:pStyle w:val="8"/>
              <w:jc w:val="both"/>
              <w:rPr>
                <w:rFonts w:ascii="Times New Roman"/>
                <w:color w:val="auto"/>
                <w:sz w:val="20"/>
              </w:rPr>
            </w:pPr>
          </w:p>
          <w:p w14:paraId="3FC138A0">
            <w:pPr>
              <w:pStyle w:val="8"/>
              <w:jc w:val="both"/>
              <w:rPr>
                <w:rFonts w:ascii="Times New Roman"/>
                <w:color w:val="auto"/>
                <w:sz w:val="20"/>
              </w:rPr>
            </w:pPr>
          </w:p>
          <w:p w14:paraId="2895F959">
            <w:pPr>
              <w:pStyle w:val="8"/>
              <w:jc w:val="both"/>
              <w:rPr>
                <w:rFonts w:ascii="Times New Roman"/>
                <w:color w:val="auto"/>
                <w:sz w:val="20"/>
              </w:rPr>
            </w:pPr>
          </w:p>
          <w:p w14:paraId="71E57B93">
            <w:pPr>
              <w:pStyle w:val="8"/>
              <w:jc w:val="both"/>
              <w:rPr>
                <w:rFonts w:ascii="Times New Roman"/>
                <w:color w:val="auto"/>
                <w:sz w:val="20"/>
              </w:rPr>
            </w:pPr>
          </w:p>
          <w:p w14:paraId="5B3A932E">
            <w:pPr>
              <w:pStyle w:val="8"/>
              <w:jc w:val="both"/>
              <w:rPr>
                <w:rFonts w:ascii="Times New Roman"/>
                <w:color w:val="auto"/>
                <w:sz w:val="20"/>
              </w:rPr>
            </w:pPr>
          </w:p>
          <w:p w14:paraId="6E9EF0B1">
            <w:pPr>
              <w:pStyle w:val="8"/>
              <w:jc w:val="both"/>
              <w:rPr>
                <w:rFonts w:ascii="Times New Roman"/>
                <w:color w:val="auto"/>
                <w:sz w:val="20"/>
              </w:rPr>
            </w:pPr>
          </w:p>
          <w:p w14:paraId="6FE778A1">
            <w:pPr>
              <w:pStyle w:val="8"/>
              <w:jc w:val="both"/>
              <w:rPr>
                <w:rFonts w:ascii="Times New Roman"/>
                <w:color w:val="auto"/>
                <w:sz w:val="20"/>
              </w:rPr>
            </w:pPr>
          </w:p>
          <w:p w14:paraId="52B78916">
            <w:pPr>
              <w:pStyle w:val="8"/>
              <w:jc w:val="both"/>
              <w:rPr>
                <w:rFonts w:ascii="Times New Roman"/>
                <w:color w:val="auto"/>
                <w:sz w:val="20"/>
              </w:rPr>
            </w:pPr>
          </w:p>
          <w:p w14:paraId="06183BC3">
            <w:pPr>
              <w:pStyle w:val="8"/>
              <w:jc w:val="both"/>
              <w:rPr>
                <w:rFonts w:ascii="Times New Roman"/>
                <w:color w:val="auto"/>
                <w:sz w:val="20"/>
              </w:rPr>
            </w:pPr>
          </w:p>
          <w:p w14:paraId="41413CAC">
            <w:pPr>
              <w:pStyle w:val="8"/>
              <w:jc w:val="both"/>
              <w:rPr>
                <w:rFonts w:ascii="Times New Roman"/>
                <w:color w:val="auto"/>
                <w:sz w:val="20"/>
              </w:rPr>
            </w:pPr>
          </w:p>
          <w:p w14:paraId="284F2952">
            <w:pPr>
              <w:pStyle w:val="8"/>
              <w:jc w:val="both"/>
              <w:rPr>
                <w:rFonts w:ascii="Times New Roman"/>
                <w:color w:val="auto"/>
                <w:sz w:val="20"/>
              </w:rPr>
            </w:pPr>
          </w:p>
          <w:p w14:paraId="2A05DAFA">
            <w:pPr>
              <w:pStyle w:val="8"/>
              <w:jc w:val="both"/>
              <w:rPr>
                <w:rFonts w:ascii="Times New Roman"/>
                <w:color w:val="auto"/>
                <w:sz w:val="20"/>
              </w:rPr>
            </w:pPr>
          </w:p>
          <w:p w14:paraId="63673863">
            <w:pPr>
              <w:pStyle w:val="8"/>
              <w:jc w:val="both"/>
              <w:rPr>
                <w:rFonts w:ascii="Times New Roman"/>
                <w:color w:val="auto"/>
                <w:sz w:val="20"/>
              </w:rPr>
            </w:pPr>
          </w:p>
          <w:p w14:paraId="306F61DF">
            <w:pPr>
              <w:pStyle w:val="8"/>
              <w:jc w:val="both"/>
              <w:rPr>
                <w:rFonts w:ascii="Times New Roman"/>
                <w:color w:val="auto"/>
                <w:sz w:val="20"/>
              </w:rPr>
            </w:pPr>
          </w:p>
          <w:p w14:paraId="6E0C89B5">
            <w:pPr>
              <w:pStyle w:val="8"/>
              <w:jc w:val="both"/>
              <w:rPr>
                <w:rFonts w:ascii="Times New Roman"/>
                <w:color w:val="auto"/>
                <w:sz w:val="20"/>
              </w:rPr>
            </w:pPr>
          </w:p>
          <w:p w14:paraId="18B5C506">
            <w:pPr>
              <w:pStyle w:val="8"/>
              <w:spacing w:before="5"/>
              <w:jc w:val="both"/>
              <w:rPr>
                <w:rFonts w:ascii="Times New Roman"/>
                <w:color w:val="auto"/>
                <w:sz w:val="20"/>
              </w:rPr>
            </w:pPr>
          </w:p>
          <w:p w14:paraId="0CDF5138">
            <w:pPr>
              <w:pStyle w:val="8"/>
              <w:spacing w:before="1"/>
              <w:ind w:left="9"/>
              <w:jc w:val="center"/>
              <w:rPr>
                <w:color w:val="auto"/>
                <w:sz w:val="21"/>
              </w:rPr>
            </w:pPr>
            <w:r>
              <w:rPr>
                <w:color w:val="auto"/>
                <w:w w:val="100"/>
                <w:sz w:val="21"/>
              </w:rPr>
              <w:t>8</w:t>
            </w:r>
          </w:p>
        </w:tc>
        <w:tc>
          <w:tcPr>
            <w:tcW w:w="1183" w:type="dxa"/>
            <w:gridSpan w:val="2"/>
            <w:vAlign w:val="top"/>
          </w:tcPr>
          <w:p w14:paraId="54917562">
            <w:pPr>
              <w:pStyle w:val="8"/>
              <w:jc w:val="both"/>
              <w:rPr>
                <w:rFonts w:ascii="Times New Roman"/>
                <w:color w:val="auto"/>
                <w:sz w:val="20"/>
              </w:rPr>
            </w:pPr>
          </w:p>
          <w:p w14:paraId="720F616B">
            <w:pPr>
              <w:pStyle w:val="8"/>
              <w:jc w:val="both"/>
              <w:rPr>
                <w:rFonts w:ascii="Times New Roman"/>
                <w:color w:val="auto"/>
                <w:sz w:val="20"/>
              </w:rPr>
            </w:pPr>
          </w:p>
          <w:p w14:paraId="6612872B">
            <w:pPr>
              <w:pStyle w:val="8"/>
              <w:jc w:val="both"/>
              <w:rPr>
                <w:rFonts w:ascii="Times New Roman"/>
                <w:color w:val="auto"/>
                <w:sz w:val="20"/>
              </w:rPr>
            </w:pPr>
          </w:p>
          <w:p w14:paraId="604DF5CF">
            <w:pPr>
              <w:pStyle w:val="8"/>
              <w:jc w:val="both"/>
              <w:rPr>
                <w:rFonts w:ascii="Times New Roman"/>
                <w:color w:val="auto"/>
                <w:sz w:val="20"/>
              </w:rPr>
            </w:pPr>
          </w:p>
          <w:p w14:paraId="013E7932">
            <w:pPr>
              <w:pStyle w:val="8"/>
              <w:jc w:val="both"/>
              <w:rPr>
                <w:rFonts w:ascii="Times New Roman"/>
                <w:color w:val="auto"/>
                <w:sz w:val="20"/>
              </w:rPr>
            </w:pPr>
          </w:p>
          <w:p w14:paraId="5203AD18">
            <w:pPr>
              <w:pStyle w:val="8"/>
              <w:jc w:val="both"/>
              <w:rPr>
                <w:rFonts w:ascii="Times New Roman"/>
                <w:color w:val="auto"/>
                <w:sz w:val="20"/>
              </w:rPr>
            </w:pPr>
          </w:p>
          <w:p w14:paraId="22791035">
            <w:pPr>
              <w:pStyle w:val="8"/>
              <w:jc w:val="both"/>
              <w:rPr>
                <w:rFonts w:ascii="Times New Roman"/>
                <w:color w:val="auto"/>
                <w:sz w:val="20"/>
              </w:rPr>
            </w:pPr>
          </w:p>
          <w:p w14:paraId="24E5C56E">
            <w:pPr>
              <w:pStyle w:val="8"/>
              <w:spacing w:before="163"/>
              <w:ind w:left="170"/>
              <w:jc w:val="both"/>
              <w:rPr>
                <w:b/>
                <w:color w:val="auto"/>
                <w:sz w:val="21"/>
              </w:rPr>
            </w:pPr>
            <w:r>
              <w:rPr>
                <w:b/>
                <w:color w:val="auto"/>
                <w:sz w:val="21"/>
              </w:rPr>
              <w:t>违法行为</w:t>
            </w:r>
          </w:p>
        </w:tc>
        <w:tc>
          <w:tcPr>
            <w:tcW w:w="12046" w:type="dxa"/>
            <w:gridSpan w:val="4"/>
            <w:vAlign w:val="top"/>
          </w:tcPr>
          <w:p w14:paraId="23332A04">
            <w:pPr>
              <w:pStyle w:val="8"/>
              <w:keepNext w:val="0"/>
              <w:keepLines w:val="0"/>
              <w:pageBreakBefore w:val="0"/>
              <w:widowControl w:val="0"/>
              <w:kinsoku/>
              <w:wordWrap/>
              <w:overflowPunct/>
              <w:topLinePunct w:val="0"/>
              <w:autoSpaceDE w:val="0"/>
              <w:autoSpaceDN w:val="0"/>
              <w:bidi w:val="0"/>
              <w:adjustRightInd/>
              <w:snapToGrid/>
              <w:spacing w:before="1" w:line="240" w:lineRule="exact"/>
              <w:ind w:left="530" w:right="7511" w:hanging="3"/>
              <w:jc w:val="both"/>
              <w:textAlignment w:val="auto"/>
              <w:rPr>
                <w:color w:val="auto"/>
                <w:sz w:val="21"/>
              </w:rPr>
            </w:pPr>
            <w:r>
              <w:rPr>
                <w:color w:val="auto"/>
                <w:spacing w:val="-3"/>
                <w:sz w:val="21"/>
              </w:rPr>
              <w:t xml:space="preserve">未按照要求提交质量管理体系自查报告； </w:t>
            </w:r>
            <w:r>
              <w:rPr>
                <w:color w:val="auto"/>
                <w:spacing w:val="-4"/>
                <w:sz w:val="21"/>
              </w:rPr>
              <w:t>从不具备合法资质的供货者购进医疗器械；</w:t>
            </w:r>
          </w:p>
          <w:p w14:paraId="17F3E03C">
            <w:pPr>
              <w:pStyle w:val="8"/>
              <w:keepNext w:val="0"/>
              <w:keepLines w:val="0"/>
              <w:pageBreakBefore w:val="0"/>
              <w:widowControl w:val="0"/>
              <w:kinsoku/>
              <w:wordWrap/>
              <w:overflowPunct/>
              <w:topLinePunct w:val="0"/>
              <w:autoSpaceDE w:val="0"/>
              <w:autoSpaceDN w:val="0"/>
              <w:bidi w:val="0"/>
              <w:adjustRightInd/>
              <w:snapToGrid/>
              <w:spacing w:line="240" w:lineRule="exact"/>
              <w:ind w:left="530"/>
              <w:jc w:val="both"/>
              <w:textAlignment w:val="auto"/>
              <w:rPr>
                <w:color w:val="auto"/>
                <w:sz w:val="21"/>
              </w:rPr>
            </w:pPr>
            <w:r>
              <w:rPr>
                <w:color w:val="auto"/>
                <w:sz w:val="21"/>
              </w:rPr>
              <w:t>医疗器械经营企业、使用单位未依照《医疗器械监督管理条例》规定建立并执行医疗器械进货查验记录制度；</w:t>
            </w:r>
          </w:p>
          <w:p w14:paraId="61777649">
            <w:pPr>
              <w:pStyle w:val="8"/>
              <w:keepNext w:val="0"/>
              <w:keepLines w:val="0"/>
              <w:pageBreakBefore w:val="0"/>
              <w:widowControl w:val="0"/>
              <w:kinsoku/>
              <w:wordWrap/>
              <w:overflowPunct/>
              <w:topLinePunct w:val="0"/>
              <w:autoSpaceDE w:val="0"/>
              <w:autoSpaceDN w:val="0"/>
              <w:bidi w:val="0"/>
              <w:adjustRightInd/>
              <w:snapToGrid/>
              <w:spacing w:before="4" w:line="240" w:lineRule="exact"/>
              <w:ind w:left="108" w:right="98" w:firstLine="422"/>
              <w:jc w:val="both"/>
              <w:textAlignment w:val="auto"/>
              <w:rPr>
                <w:color w:val="auto"/>
                <w:sz w:val="21"/>
              </w:rPr>
            </w:pPr>
            <w:r>
              <w:rPr>
                <w:color w:val="auto"/>
                <w:sz w:val="21"/>
              </w:rPr>
              <w:t>从事第二类、第三类医疗器械批发业务以及第三类医疗器械零售业务的经营企业未依照《医疗器械监督管理条例》规定建立并执行销售记录制度；</w:t>
            </w:r>
          </w:p>
          <w:p w14:paraId="58858B01">
            <w:pPr>
              <w:pStyle w:val="8"/>
              <w:keepNext w:val="0"/>
              <w:keepLines w:val="0"/>
              <w:pageBreakBefore w:val="0"/>
              <w:widowControl w:val="0"/>
              <w:kinsoku/>
              <w:wordWrap/>
              <w:overflowPunct/>
              <w:topLinePunct w:val="0"/>
              <w:autoSpaceDE w:val="0"/>
              <w:autoSpaceDN w:val="0"/>
              <w:bidi w:val="0"/>
              <w:adjustRightInd/>
              <w:snapToGrid/>
              <w:spacing w:before="2" w:line="240" w:lineRule="exact"/>
              <w:ind w:left="108" w:right="98" w:firstLine="422"/>
              <w:jc w:val="both"/>
              <w:textAlignment w:val="auto"/>
              <w:rPr>
                <w:color w:val="auto"/>
                <w:sz w:val="21"/>
              </w:rPr>
            </w:pPr>
            <w:r>
              <w:rPr>
                <w:color w:val="auto"/>
                <w:sz w:val="21"/>
              </w:rPr>
              <w:t>医疗器械注册人、备案人、生产经营企业、使用单位未依照《医疗器械监督管理条例》规定开展医疗器械不良事件监测，未按照要求报告不良事件，或者对医疗器械不良事件监测技术机构、负责药品监督管理的部门、卫生主管部门开展的不良事件调查不予配合；</w:t>
            </w:r>
          </w:p>
          <w:p w14:paraId="1D7FD6C8">
            <w:pPr>
              <w:pStyle w:val="8"/>
              <w:keepNext w:val="0"/>
              <w:keepLines w:val="0"/>
              <w:pageBreakBefore w:val="0"/>
              <w:widowControl w:val="0"/>
              <w:kinsoku/>
              <w:wordWrap/>
              <w:overflowPunct/>
              <w:topLinePunct w:val="0"/>
              <w:autoSpaceDE w:val="0"/>
              <w:autoSpaceDN w:val="0"/>
              <w:bidi w:val="0"/>
              <w:adjustRightInd/>
              <w:snapToGrid/>
              <w:spacing w:before="1" w:line="240" w:lineRule="exact"/>
              <w:ind w:left="530" w:right="3517"/>
              <w:jc w:val="both"/>
              <w:textAlignment w:val="auto"/>
              <w:rPr>
                <w:color w:val="auto"/>
                <w:sz w:val="21"/>
              </w:rPr>
            </w:pPr>
            <w:r>
              <w:rPr>
                <w:color w:val="auto"/>
                <w:sz w:val="21"/>
              </w:rPr>
              <w:t>医疗器械注册人、备案人未按照规定制定上市后研究和风险管控计划并保证有效实施； 医疗器械注册人、备案人未按照规定建立并执行产品追溯制度；</w:t>
            </w:r>
          </w:p>
          <w:p w14:paraId="35E0ED2B">
            <w:pPr>
              <w:pStyle w:val="8"/>
              <w:keepNext w:val="0"/>
              <w:keepLines w:val="0"/>
              <w:pageBreakBefore w:val="0"/>
              <w:widowControl w:val="0"/>
              <w:kinsoku/>
              <w:wordWrap/>
              <w:overflowPunct/>
              <w:topLinePunct w:val="0"/>
              <w:autoSpaceDE w:val="0"/>
              <w:autoSpaceDN w:val="0"/>
              <w:bidi w:val="0"/>
              <w:adjustRightInd/>
              <w:snapToGrid/>
              <w:spacing w:line="240" w:lineRule="exact"/>
              <w:ind w:left="530"/>
              <w:jc w:val="both"/>
              <w:textAlignment w:val="auto"/>
              <w:rPr>
                <w:color w:val="auto"/>
                <w:sz w:val="21"/>
              </w:rPr>
            </w:pPr>
            <w:r>
              <w:rPr>
                <w:color w:val="auto"/>
                <w:sz w:val="21"/>
              </w:rPr>
              <w:t>医疗器械注册人、备案人、经营企业从事医疗器械网络销售未按照规定告知负责药品监督管理的部门；</w:t>
            </w:r>
          </w:p>
          <w:p w14:paraId="74BB7C16">
            <w:pPr>
              <w:pStyle w:val="8"/>
              <w:keepNext w:val="0"/>
              <w:keepLines w:val="0"/>
              <w:pageBreakBefore w:val="0"/>
              <w:widowControl w:val="0"/>
              <w:kinsoku/>
              <w:wordWrap/>
              <w:overflowPunct/>
              <w:topLinePunct w:val="0"/>
              <w:autoSpaceDE w:val="0"/>
              <w:autoSpaceDN w:val="0"/>
              <w:bidi w:val="0"/>
              <w:adjustRightInd/>
              <w:snapToGrid/>
              <w:spacing w:before="4" w:line="240" w:lineRule="exact"/>
              <w:ind w:left="108" w:right="98" w:firstLine="422"/>
              <w:jc w:val="both"/>
              <w:textAlignment w:val="auto"/>
              <w:rPr>
                <w:color w:val="auto"/>
                <w:sz w:val="21"/>
              </w:rPr>
            </w:pPr>
            <w:r>
              <w:rPr>
                <w:color w:val="auto"/>
                <w:sz w:val="21"/>
              </w:rPr>
              <w:t>对需要定期检查、检验、校准、保养、维护的医疗器械，医疗器械使用单位未按照产品说明书要求进行检查、检验、校准、保养、维护并予以记录，及时进行分析、评估，确保医疗器械处于良好状态；</w:t>
            </w:r>
          </w:p>
          <w:p w14:paraId="5D728636">
            <w:pPr>
              <w:pStyle w:val="8"/>
              <w:keepNext w:val="0"/>
              <w:keepLines w:val="0"/>
              <w:pageBreakBefore w:val="0"/>
              <w:widowControl w:val="0"/>
              <w:kinsoku/>
              <w:wordWrap/>
              <w:overflowPunct/>
              <w:topLinePunct w:val="0"/>
              <w:autoSpaceDE w:val="0"/>
              <w:autoSpaceDN w:val="0"/>
              <w:bidi w:val="0"/>
              <w:adjustRightInd/>
              <w:snapToGrid/>
              <w:spacing w:before="2" w:line="240" w:lineRule="exact"/>
              <w:ind w:left="530"/>
              <w:jc w:val="both"/>
              <w:textAlignment w:val="auto"/>
              <w:rPr>
                <w:color w:val="auto"/>
                <w:sz w:val="21"/>
              </w:rPr>
            </w:pPr>
            <w:r>
              <w:rPr>
                <w:color w:val="auto"/>
                <w:sz w:val="21"/>
              </w:rPr>
              <w:t>医疗器械使用单位未妥善保存购入第三类医疗器械的原始资料。</w:t>
            </w:r>
          </w:p>
        </w:tc>
      </w:tr>
      <w:tr w14:paraId="38327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562" w:type="dxa"/>
            <w:vMerge w:val="continue"/>
            <w:tcBorders>
              <w:top w:val="nil"/>
            </w:tcBorders>
            <w:vAlign w:val="top"/>
          </w:tcPr>
          <w:p w14:paraId="117D4C7D">
            <w:pPr>
              <w:jc w:val="both"/>
              <w:rPr>
                <w:color w:val="auto"/>
                <w:sz w:val="2"/>
                <w:szCs w:val="2"/>
              </w:rPr>
            </w:pPr>
          </w:p>
        </w:tc>
        <w:tc>
          <w:tcPr>
            <w:tcW w:w="1183" w:type="dxa"/>
            <w:gridSpan w:val="2"/>
            <w:vAlign w:val="top"/>
          </w:tcPr>
          <w:p w14:paraId="0090FE99">
            <w:pPr>
              <w:pStyle w:val="8"/>
              <w:jc w:val="both"/>
              <w:rPr>
                <w:rFonts w:ascii="Times New Roman"/>
                <w:color w:val="auto"/>
                <w:sz w:val="20"/>
              </w:rPr>
            </w:pPr>
          </w:p>
          <w:p w14:paraId="140A7B15">
            <w:pPr>
              <w:pStyle w:val="8"/>
              <w:spacing w:before="179"/>
              <w:ind w:left="170"/>
              <w:jc w:val="both"/>
              <w:rPr>
                <w:b/>
                <w:color w:val="auto"/>
                <w:sz w:val="21"/>
              </w:rPr>
            </w:pPr>
            <w:r>
              <w:rPr>
                <w:b/>
                <w:color w:val="auto"/>
                <w:sz w:val="21"/>
              </w:rPr>
              <w:t>处罚依据</w:t>
            </w:r>
          </w:p>
        </w:tc>
        <w:tc>
          <w:tcPr>
            <w:tcW w:w="12046" w:type="dxa"/>
            <w:gridSpan w:val="4"/>
            <w:vAlign w:val="top"/>
          </w:tcPr>
          <w:p w14:paraId="18D58365">
            <w:pPr>
              <w:pStyle w:val="8"/>
              <w:spacing w:before="1" w:line="244" w:lineRule="auto"/>
              <w:ind w:left="108" w:right="96" w:firstLine="420"/>
              <w:jc w:val="both"/>
              <w:rPr>
                <w:color w:val="auto"/>
                <w:sz w:val="21"/>
              </w:rPr>
            </w:pPr>
            <w:r>
              <w:rPr>
                <w:color w:val="auto"/>
                <w:spacing w:val="-1"/>
                <w:sz w:val="21"/>
              </w:rPr>
              <w:t>根据《医疗器械监督管理条例》第八十九条规定，由负责药品监督管理的部门和卫生主管部门依据各自职责责令改正，给予</w:t>
            </w:r>
            <w:r>
              <w:rPr>
                <w:color w:val="auto"/>
                <w:spacing w:val="-8"/>
                <w:sz w:val="21"/>
              </w:rPr>
              <w:t xml:space="preserve">警告；拒不改正的，处 </w:t>
            </w:r>
            <w:r>
              <w:rPr>
                <w:color w:val="auto"/>
                <w:sz w:val="21"/>
              </w:rPr>
              <w:t>1</w:t>
            </w:r>
            <w:r>
              <w:rPr>
                <w:color w:val="auto"/>
                <w:spacing w:val="-14"/>
                <w:sz w:val="21"/>
              </w:rPr>
              <w:t xml:space="preserve"> 万元以上 </w:t>
            </w:r>
            <w:r>
              <w:rPr>
                <w:color w:val="auto"/>
                <w:sz w:val="21"/>
              </w:rPr>
              <w:t>10</w:t>
            </w:r>
            <w:r>
              <w:rPr>
                <w:color w:val="auto"/>
                <w:spacing w:val="-9"/>
                <w:sz w:val="21"/>
              </w:rPr>
              <w:t xml:space="preserve"> 万元以下罚款。情节严重的，责令停产停业，直至由原发证部门吊销医疗器械注册证、医疗</w:t>
            </w:r>
          </w:p>
          <w:p w14:paraId="477DA4E6">
            <w:pPr>
              <w:pStyle w:val="8"/>
              <w:spacing w:line="265" w:lineRule="exact"/>
              <w:ind w:left="108"/>
              <w:jc w:val="both"/>
              <w:rPr>
                <w:color w:val="auto"/>
                <w:sz w:val="21"/>
              </w:rPr>
            </w:pPr>
            <w:r>
              <w:rPr>
                <w:color w:val="auto"/>
                <w:spacing w:val="-3"/>
                <w:sz w:val="21"/>
              </w:rPr>
              <w:t xml:space="preserve">器械生产许可证、医疗器械经营许可证，对违法单位的法定代表人、主要负责人、直接负责的主管人员和其他责任人员处 </w:t>
            </w:r>
            <w:r>
              <w:rPr>
                <w:color w:val="auto"/>
                <w:sz w:val="21"/>
              </w:rPr>
              <w:t>1</w:t>
            </w:r>
            <w:r>
              <w:rPr>
                <w:color w:val="auto"/>
                <w:spacing w:val="1"/>
                <w:sz w:val="21"/>
              </w:rPr>
              <w:t xml:space="preserve"> 万元</w:t>
            </w:r>
          </w:p>
          <w:p w14:paraId="757671F5">
            <w:pPr>
              <w:pStyle w:val="8"/>
              <w:spacing w:before="4" w:line="250" w:lineRule="exact"/>
              <w:ind w:left="108"/>
              <w:jc w:val="both"/>
              <w:rPr>
                <w:color w:val="auto"/>
                <w:sz w:val="21"/>
              </w:rPr>
            </w:pPr>
            <w:r>
              <w:rPr>
                <w:color w:val="auto"/>
                <w:sz w:val="21"/>
              </w:rPr>
              <w:t>以上 3 万元以下罚款。</w:t>
            </w:r>
          </w:p>
        </w:tc>
      </w:tr>
      <w:tr w14:paraId="5B9E2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62" w:type="dxa"/>
            <w:vMerge w:val="continue"/>
            <w:tcBorders>
              <w:top w:val="nil"/>
            </w:tcBorders>
            <w:vAlign w:val="top"/>
          </w:tcPr>
          <w:p w14:paraId="743BB2A0">
            <w:pPr>
              <w:jc w:val="both"/>
              <w:rPr>
                <w:color w:val="auto"/>
                <w:sz w:val="2"/>
                <w:szCs w:val="2"/>
              </w:rPr>
            </w:pPr>
          </w:p>
        </w:tc>
        <w:tc>
          <w:tcPr>
            <w:tcW w:w="1183" w:type="dxa"/>
            <w:gridSpan w:val="2"/>
            <w:vAlign w:val="top"/>
          </w:tcPr>
          <w:p w14:paraId="1DA125E2">
            <w:pPr>
              <w:pStyle w:val="8"/>
              <w:spacing w:before="121"/>
              <w:ind w:left="170"/>
              <w:jc w:val="both"/>
              <w:rPr>
                <w:b/>
                <w:color w:val="auto"/>
                <w:sz w:val="21"/>
              </w:rPr>
            </w:pPr>
            <w:r>
              <w:rPr>
                <w:b/>
                <w:color w:val="auto"/>
                <w:sz w:val="21"/>
              </w:rPr>
              <w:t>裁量等级</w:t>
            </w:r>
          </w:p>
        </w:tc>
        <w:tc>
          <w:tcPr>
            <w:tcW w:w="2715" w:type="dxa"/>
            <w:vAlign w:val="top"/>
          </w:tcPr>
          <w:p w14:paraId="07250F11">
            <w:pPr>
              <w:pStyle w:val="8"/>
              <w:spacing w:before="121"/>
              <w:ind w:left="108"/>
              <w:jc w:val="both"/>
              <w:rPr>
                <w:b/>
                <w:color w:val="auto"/>
                <w:sz w:val="21"/>
              </w:rPr>
            </w:pPr>
            <w:r>
              <w:rPr>
                <w:b/>
                <w:color w:val="auto"/>
                <w:sz w:val="21"/>
              </w:rPr>
              <w:t>减轻</w:t>
            </w:r>
          </w:p>
        </w:tc>
        <w:tc>
          <w:tcPr>
            <w:tcW w:w="2714" w:type="dxa"/>
            <w:vAlign w:val="top"/>
          </w:tcPr>
          <w:p w14:paraId="717ED47D">
            <w:pPr>
              <w:pStyle w:val="8"/>
              <w:spacing w:before="121"/>
              <w:ind w:left="108"/>
              <w:jc w:val="both"/>
              <w:rPr>
                <w:b/>
                <w:color w:val="auto"/>
                <w:sz w:val="21"/>
              </w:rPr>
            </w:pPr>
            <w:r>
              <w:rPr>
                <w:b/>
                <w:color w:val="auto"/>
                <w:sz w:val="21"/>
              </w:rPr>
              <w:t>从轻</w:t>
            </w:r>
          </w:p>
        </w:tc>
        <w:tc>
          <w:tcPr>
            <w:tcW w:w="2717" w:type="dxa"/>
            <w:vAlign w:val="top"/>
          </w:tcPr>
          <w:p w14:paraId="33D6FDF7">
            <w:pPr>
              <w:pStyle w:val="8"/>
              <w:spacing w:before="121"/>
              <w:ind w:left="108"/>
              <w:jc w:val="both"/>
              <w:rPr>
                <w:b/>
                <w:color w:val="auto"/>
                <w:sz w:val="21"/>
              </w:rPr>
            </w:pPr>
            <w:r>
              <w:rPr>
                <w:b/>
                <w:color w:val="auto"/>
                <w:sz w:val="21"/>
              </w:rPr>
              <w:t>一般</w:t>
            </w:r>
          </w:p>
        </w:tc>
        <w:tc>
          <w:tcPr>
            <w:tcW w:w="3900" w:type="dxa"/>
            <w:vAlign w:val="top"/>
          </w:tcPr>
          <w:p w14:paraId="2BF914DE">
            <w:pPr>
              <w:pStyle w:val="8"/>
              <w:spacing w:before="121"/>
              <w:ind w:left="106"/>
              <w:jc w:val="both"/>
              <w:rPr>
                <w:b/>
                <w:color w:val="auto"/>
                <w:sz w:val="21"/>
              </w:rPr>
            </w:pPr>
            <w:r>
              <w:rPr>
                <w:b/>
                <w:color w:val="auto"/>
                <w:sz w:val="21"/>
              </w:rPr>
              <w:t>从重</w:t>
            </w:r>
          </w:p>
        </w:tc>
      </w:tr>
      <w:tr w14:paraId="3F440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562" w:type="dxa"/>
            <w:vMerge w:val="continue"/>
            <w:tcBorders>
              <w:top w:val="nil"/>
            </w:tcBorders>
            <w:vAlign w:val="top"/>
          </w:tcPr>
          <w:p w14:paraId="5D7EE293">
            <w:pPr>
              <w:jc w:val="both"/>
              <w:rPr>
                <w:color w:val="auto"/>
                <w:sz w:val="2"/>
                <w:szCs w:val="2"/>
              </w:rPr>
            </w:pPr>
          </w:p>
        </w:tc>
        <w:tc>
          <w:tcPr>
            <w:tcW w:w="1183" w:type="dxa"/>
            <w:gridSpan w:val="2"/>
            <w:vAlign w:val="top"/>
          </w:tcPr>
          <w:p w14:paraId="3D3F5F54">
            <w:pPr>
              <w:pStyle w:val="8"/>
              <w:spacing w:before="138"/>
              <w:ind w:left="170"/>
              <w:jc w:val="both"/>
              <w:rPr>
                <w:b/>
                <w:color w:val="auto"/>
                <w:sz w:val="21"/>
              </w:rPr>
            </w:pPr>
            <w:r>
              <w:rPr>
                <w:b/>
                <w:color w:val="auto"/>
                <w:sz w:val="21"/>
              </w:rPr>
              <w:t>裁量情节</w:t>
            </w:r>
          </w:p>
        </w:tc>
        <w:tc>
          <w:tcPr>
            <w:tcW w:w="2715" w:type="dxa"/>
            <w:vAlign w:val="top"/>
          </w:tcPr>
          <w:p w14:paraId="02A2B0FE">
            <w:pPr>
              <w:pStyle w:val="8"/>
              <w:spacing w:before="1"/>
              <w:ind w:left="108"/>
              <w:jc w:val="both"/>
              <w:rPr>
                <w:color w:val="auto"/>
                <w:sz w:val="21"/>
              </w:rPr>
            </w:pPr>
            <w:r>
              <w:rPr>
                <w:color w:val="auto"/>
                <w:sz w:val="21"/>
              </w:rPr>
              <w:t>符合裁量规定减轻行政</w:t>
            </w:r>
            <w:r>
              <w:rPr>
                <w:rFonts w:hint="eastAsia"/>
                <w:color w:val="auto"/>
                <w:sz w:val="21"/>
                <w:lang w:eastAsia="zh-CN"/>
              </w:rPr>
              <w:t>处罚</w:t>
            </w:r>
          </w:p>
          <w:p w14:paraId="2DA80CF5">
            <w:pPr>
              <w:pStyle w:val="8"/>
              <w:spacing w:before="2" w:line="252" w:lineRule="exact"/>
              <w:ind w:left="108"/>
              <w:jc w:val="both"/>
              <w:rPr>
                <w:color w:val="auto"/>
                <w:sz w:val="21"/>
              </w:rPr>
            </w:pPr>
            <w:r>
              <w:rPr>
                <w:color w:val="auto"/>
                <w:sz w:val="21"/>
              </w:rPr>
              <w:t>罚情形的。</w:t>
            </w:r>
          </w:p>
        </w:tc>
        <w:tc>
          <w:tcPr>
            <w:tcW w:w="2714" w:type="dxa"/>
            <w:vAlign w:val="top"/>
          </w:tcPr>
          <w:p w14:paraId="5FACBD54">
            <w:pPr>
              <w:pStyle w:val="8"/>
              <w:spacing w:before="1"/>
              <w:ind w:left="108"/>
              <w:jc w:val="both"/>
              <w:rPr>
                <w:color w:val="auto"/>
                <w:sz w:val="21"/>
              </w:rPr>
            </w:pPr>
            <w:r>
              <w:rPr>
                <w:color w:val="auto"/>
                <w:sz w:val="21"/>
              </w:rPr>
              <w:t>符合裁量规定从轻行政</w:t>
            </w:r>
            <w:r>
              <w:rPr>
                <w:rFonts w:hint="eastAsia"/>
                <w:color w:val="auto"/>
                <w:sz w:val="21"/>
                <w:lang w:eastAsia="zh-CN"/>
              </w:rPr>
              <w:t>处罚</w:t>
            </w:r>
          </w:p>
          <w:p w14:paraId="253BEAE0">
            <w:pPr>
              <w:pStyle w:val="8"/>
              <w:spacing w:before="2" w:line="252" w:lineRule="exact"/>
              <w:ind w:left="108"/>
              <w:jc w:val="both"/>
              <w:rPr>
                <w:color w:val="auto"/>
                <w:sz w:val="21"/>
              </w:rPr>
            </w:pPr>
            <w:r>
              <w:rPr>
                <w:color w:val="auto"/>
                <w:sz w:val="21"/>
              </w:rPr>
              <w:t>罚情形的。</w:t>
            </w:r>
          </w:p>
        </w:tc>
        <w:tc>
          <w:tcPr>
            <w:tcW w:w="2717" w:type="dxa"/>
            <w:vAlign w:val="top"/>
          </w:tcPr>
          <w:p w14:paraId="581DF40F">
            <w:pPr>
              <w:pStyle w:val="8"/>
              <w:spacing w:before="1"/>
              <w:ind w:left="108"/>
              <w:jc w:val="both"/>
              <w:rPr>
                <w:color w:val="auto"/>
                <w:sz w:val="21"/>
              </w:rPr>
            </w:pPr>
            <w:r>
              <w:rPr>
                <w:color w:val="auto"/>
                <w:sz w:val="21"/>
              </w:rPr>
              <w:t>符合裁量规定一般行政处</w:t>
            </w:r>
          </w:p>
          <w:p w14:paraId="20324835">
            <w:pPr>
              <w:pStyle w:val="8"/>
              <w:spacing w:before="2" w:line="252" w:lineRule="exact"/>
              <w:ind w:left="108"/>
              <w:jc w:val="both"/>
              <w:rPr>
                <w:color w:val="auto"/>
                <w:sz w:val="21"/>
              </w:rPr>
            </w:pPr>
            <w:r>
              <w:rPr>
                <w:color w:val="auto"/>
                <w:sz w:val="21"/>
              </w:rPr>
              <w:t>罚情形的。</w:t>
            </w:r>
          </w:p>
        </w:tc>
        <w:tc>
          <w:tcPr>
            <w:tcW w:w="3900" w:type="dxa"/>
            <w:vAlign w:val="top"/>
          </w:tcPr>
          <w:p w14:paraId="6EAF0190">
            <w:pPr>
              <w:pStyle w:val="8"/>
              <w:spacing w:before="138"/>
              <w:ind w:left="106"/>
              <w:jc w:val="both"/>
              <w:rPr>
                <w:color w:val="auto"/>
                <w:sz w:val="21"/>
              </w:rPr>
            </w:pPr>
            <w:r>
              <w:rPr>
                <w:color w:val="auto"/>
                <w:sz w:val="21"/>
              </w:rPr>
              <w:t>符合裁量规定从重行政处罚情形的。</w:t>
            </w:r>
          </w:p>
        </w:tc>
      </w:tr>
      <w:tr w14:paraId="3B279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562" w:type="dxa"/>
            <w:vMerge w:val="continue"/>
            <w:tcBorders>
              <w:top w:val="nil"/>
            </w:tcBorders>
            <w:vAlign w:val="top"/>
          </w:tcPr>
          <w:p w14:paraId="42F67112">
            <w:pPr>
              <w:jc w:val="both"/>
              <w:rPr>
                <w:color w:val="auto"/>
                <w:sz w:val="2"/>
                <w:szCs w:val="2"/>
              </w:rPr>
            </w:pPr>
          </w:p>
        </w:tc>
        <w:tc>
          <w:tcPr>
            <w:tcW w:w="487" w:type="dxa"/>
            <w:vMerge w:val="restart"/>
            <w:vAlign w:val="top"/>
          </w:tcPr>
          <w:p w14:paraId="48CE0CFF">
            <w:pPr>
              <w:pStyle w:val="8"/>
              <w:spacing w:before="3"/>
              <w:jc w:val="both"/>
              <w:rPr>
                <w:rFonts w:ascii="Times New Roman"/>
                <w:color w:val="auto"/>
                <w:sz w:val="24"/>
              </w:rPr>
            </w:pPr>
          </w:p>
          <w:p w14:paraId="166FC5DE">
            <w:pPr>
              <w:pStyle w:val="8"/>
              <w:spacing w:line="242" w:lineRule="auto"/>
              <w:ind w:left="136" w:right="127"/>
              <w:jc w:val="both"/>
              <w:rPr>
                <w:b/>
                <w:color w:val="auto"/>
                <w:sz w:val="21"/>
              </w:rPr>
            </w:pPr>
            <w:r>
              <w:rPr>
                <w:b/>
                <w:color w:val="auto"/>
                <w:sz w:val="21"/>
              </w:rPr>
              <w:t>裁量基准</w:t>
            </w:r>
          </w:p>
        </w:tc>
        <w:tc>
          <w:tcPr>
            <w:tcW w:w="696" w:type="dxa"/>
            <w:vAlign w:val="top"/>
          </w:tcPr>
          <w:p w14:paraId="66360DBC">
            <w:pPr>
              <w:pStyle w:val="8"/>
              <w:spacing w:before="1"/>
              <w:ind w:left="136"/>
              <w:jc w:val="both"/>
              <w:rPr>
                <w:b/>
                <w:color w:val="auto"/>
                <w:sz w:val="21"/>
              </w:rPr>
            </w:pPr>
            <w:r>
              <w:rPr>
                <w:b/>
                <w:color w:val="auto"/>
                <w:sz w:val="21"/>
              </w:rPr>
              <w:t>一般</w:t>
            </w:r>
          </w:p>
          <w:p w14:paraId="7A9A75E6">
            <w:pPr>
              <w:pStyle w:val="8"/>
              <w:spacing w:before="4" w:line="250" w:lineRule="exact"/>
              <w:ind w:left="136"/>
              <w:jc w:val="both"/>
              <w:rPr>
                <w:b/>
                <w:color w:val="auto"/>
                <w:sz w:val="21"/>
              </w:rPr>
            </w:pPr>
            <w:r>
              <w:rPr>
                <w:b/>
                <w:color w:val="auto"/>
                <w:sz w:val="21"/>
              </w:rPr>
              <w:t>情形</w:t>
            </w:r>
          </w:p>
        </w:tc>
        <w:tc>
          <w:tcPr>
            <w:tcW w:w="2715" w:type="dxa"/>
            <w:vAlign w:val="top"/>
          </w:tcPr>
          <w:p w14:paraId="6BA09385">
            <w:pPr>
              <w:pStyle w:val="8"/>
              <w:spacing w:before="1"/>
              <w:ind w:left="108"/>
              <w:jc w:val="both"/>
              <w:rPr>
                <w:color w:val="auto"/>
                <w:sz w:val="21"/>
              </w:rPr>
            </w:pPr>
            <w:r>
              <w:rPr>
                <w:color w:val="auto"/>
                <w:spacing w:val="-28"/>
                <w:sz w:val="21"/>
              </w:rPr>
              <w:t xml:space="preserve">处 </w:t>
            </w:r>
            <w:r>
              <w:rPr>
                <w:color w:val="auto"/>
                <w:sz w:val="21"/>
              </w:rPr>
              <w:t>0.1</w:t>
            </w:r>
            <w:r>
              <w:rPr>
                <w:color w:val="auto"/>
                <w:spacing w:val="-21"/>
                <w:sz w:val="21"/>
              </w:rPr>
              <w:t xml:space="preserve"> 万元以上 </w:t>
            </w:r>
            <w:r>
              <w:rPr>
                <w:color w:val="auto"/>
                <w:sz w:val="21"/>
              </w:rPr>
              <w:t>1</w:t>
            </w:r>
            <w:r>
              <w:rPr>
                <w:color w:val="auto"/>
                <w:spacing w:val="-14"/>
                <w:sz w:val="21"/>
              </w:rPr>
              <w:t xml:space="preserve"> 万元以下</w:t>
            </w:r>
          </w:p>
          <w:p w14:paraId="6B2CA430">
            <w:pPr>
              <w:pStyle w:val="8"/>
              <w:spacing w:before="4" w:line="250" w:lineRule="exact"/>
              <w:ind w:left="108"/>
              <w:jc w:val="both"/>
              <w:rPr>
                <w:color w:val="auto"/>
                <w:sz w:val="21"/>
              </w:rPr>
            </w:pPr>
            <w:r>
              <w:rPr>
                <w:color w:val="auto"/>
                <w:sz w:val="21"/>
              </w:rPr>
              <w:t>罚款。</w:t>
            </w:r>
          </w:p>
        </w:tc>
        <w:tc>
          <w:tcPr>
            <w:tcW w:w="2714" w:type="dxa"/>
            <w:vAlign w:val="top"/>
          </w:tcPr>
          <w:p w14:paraId="567A9FD9">
            <w:pPr>
              <w:pStyle w:val="8"/>
              <w:spacing w:before="1"/>
              <w:ind w:left="108"/>
              <w:jc w:val="both"/>
              <w:rPr>
                <w:color w:val="auto"/>
                <w:sz w:val="21"/>
              </w:rPr>
            </w:pPr>
            <w:r>
              <w:rPr>
                <w:color w:val="auto"/>
                <w:spacing w:val="-28"/>
                <w:sz w:val="21"/>
              </w:rPr>
              <w:t xml:space="preserve">处 </w:t>
            </w:r>
            <w:r>
              <w:rPr>
                <w:color w:val="auto"/>
                <w:sz w:val="21"/>
              </w:rPr>
              <w:t>1</w:t>
            </w:r>
            <w:r>
              <w:rPr>
                <w:color w:val="auto"/>
                <w:spacing w:val="-22"/>
                <w:sz w:val="21"/>
              </w:rPr>
              <w:t xml:space="preserve"> 万元以上 </w:t>
            </w:r>
            <w:r>
              <w:rPr>
                <w:color w:val="auto"/>
                <w:sz w:val="21"/>
              </w:rPr>
              <w:t>3.7</w:t>
            </w:r>
            <w:r>
              <w:rPr>
                <w:color w:val="auto"/>
                <w:spacing w:val="-13"/>
                <w:sz w:val="21"/>
              </w:rPr>
              <w:t xml:space="preserve"> 万元以下</w:t>
            </w:r>
          </w:p>
          <w:p w14:paraId="057E47CC">
            <w:pPr>
              <w:pStyle w:val="8"/>
              <w:spacing w:before="4" w:line="250" w:lineRule="exact"/>
              <w:ind w:left="108"/>
              <w:jc w:val="both"/>
              <w:rPr>
                <w:color w:val="auto"/>
                <w:sz w:val="21"/>
              </w:rPr>
            </w:pPr>
            <w:r>
              <w:rPr>
                <w:color w:val="auto"/>
                <w:sz w:val="21"/>
              </w:rPr>
              <w:t>罚款。</w:t>
            </w:r>
          </w:p>
        </w:tc>
        <w:tc>
          <w:tcPr>
            <w:tcW w:w="2717" w:type="dxa"/>
            <w:vAlign w:val="top"/>
          </w:tcPr>
          <w:p w14:paraId="18621ACA">
            <w:pPr>
              <w:pStyle w:val="8"/>
              <w:spacing w:before="1"/>
              <w:ind w:left="108"/>
              <w:jc w:val="both"/>
              <w:rPr>
                <w:color w:val="auto"/>
                <w:sz w:val="21"/>
              </w:rPr>
            </w:pPr>
            <w:r>
              <w:rPr>
                <w:color w:val="auto"/>
                <w:spacing w:val="-28"/>
                <w:sz w:val="21"/>
              </w:rPr>
              <w:t xml:space="preserve">处 </w:t>
            </w:r>
            <w:r>
              <w:rPr>
                <w:color w:val="auto"/>
                <w:sz w:val="21"/>
              </w:rPr>
              <w:t>3.7</w:t>
            </w:r>
            <w:r>
              <w:rPr>
                <w:color w:val="auto"/>
                <w:spacing w:val="-21"/>
                <w:sz w:val="21"/>
              </w:rPr>
              <w:t xml:space="preserve"> 万元以上 </w:t>
            </w:r>
            <w:r>
              <w:rPr>
                <w:color w:val="auto"/>
                <w:sz w:val="21"/>
              </w:rPr>
              <w:t>7.3</w:t>
            </w:r>
            <w:r>
              <w:rPr>
                <w:color w:val="auto"/>
                <w:spacing w:val="-16"/>
                <w:sz w:val="21"/>
              </w:rPr>
              <w:t xml:space="preserve"> 万元以</w:t>
            </w:r>
          </w:p>
          <w:p w14:paraId="4FC90C0A">
            <w:pPr>
              <w:pStyle w:val="8"/>
              <w:spacing w:before="4" w:line="250" w:lineRule="exact"/>
              <w:ind w:left="108"/>
              <w:jc w:val="both"/>
              <w:rPr>
                <w:color w:val="auto"/>
                <w:sz w:val="21"/>
              </w:rPr>
            </w:pPr>
            <w:r>
              <w:rPr>
                <w:color w:val="auto"/>
                <w:sz w:val="21"/>
              </w:rPr>
              <w:t>下罚款。</w:t>
            </w:r>
          </w:p>
        </w:tc>
        <w:tc>
          <w:tcPr>
            <w:tcW w:w="3900" w:type="dxa"/>
            <w:vAlign w:val="top"/>
          </w:tcPr>
          <w:p w14:paraId="000AE838">
            <w:pPr>
              <w:pStyle w:val="8"/>
              <w:spacing w:before="138"/>
              <w:ind w:left="106"/>
              <w:jc w:val="both"/>
              <w:rPr>
                <w:color w:val="auto"/>
                <w:sz w:val="21"/>
              </w:rPr>
            </w:pPr>
            <w:r>
              <w:rPr>
                <w:color w:val="auto"/>
                <w:sz w:val="21"/>
              </w:rPr>
              <w:t>处 7.3 万元以上 10 万元以下罚款。</w:t>
            </w:r>
          </w:p>
        </w:tc>
      </w:tr>
      <w:tr w14:paraId="3EAAD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562" w:type="dxa"/>
            <w:vMerge w:val="continue"/>
            <w:tcBorders>
              <w:top w:val="nil"/>
            </w:tcBorders>
            <w:vAlign w:val="top"/>
          </w:tcPr>
          <w:p w14:paraId="5CFAED79">
            <w:pPr>
              <w:jc w:val="both"/>
              <w:rPr>
                <w:color w:val="auto"/>
                <w:sz w:val="2"/>
                <w:szCs w:val="2"/>
              </w:rPr>
            </w:pPr>
          </w:p>
        </w:tc>
        <w:tc>
          <w:tcPr>
            <w:tcW w:w="487" w:type="dxa"/>
            <w:vMerge w:val="continue"/>
            <w:tcBorders>
              <w:top w:val="nil"/>
            </w:tcBorders>
            <w:vAlign w:val="top"/>
          </w:tcPr>
          <w:p w14:paraId="4FA3E89B">
            <w:pPr>
              <w:jc w:val="both"/>
              <w:rPr>
                <w:color w:val="auto"/>
                <w:sz w:val="2"/>
                <w:szCs w:val="2"/>
              </w:rPr>
            </w:pPr>
          </w:p>
        </w:tc>
        <w:tc>
          <w:tcPr>
            <w:tcW w:w="696" w:type="dxa"/>
            <w:vAlign w:val="top"/>
          </w:tcPr>
          <w:p w14:paraId="6188C427">
            <w:pPr>
              <w:pStyle w:val="8"/>
              <w:spacing w:before="138" w:line="242" w:lineRule="auto"/>
              <w:ind w:left="136" w:right="124"/>
              <w:jc w:val="both"/>
              <w:rPr>
                <w:b/>
                <w:color w:val="auto"/>
                <w:sz w:val="21"/>
              </w:rPr>
            </w:pPr>
            <w:r>
              <w:rPr>
                <w:b/>
                <w:color w:val="auto"/>
                <w:sz w:val="21"/>
              </w:rPr>
              <w:t>情节严重的</w:t>
            </w:r>
          </w:p>
        </w:tc>
        <w:tc>
          <w:tcPr>
            <w:tcW w:w="2715" w:type="dxa"/>
            <w:vAlign w:val="top"/>
          </w:tcPr>
          <w:p w14:paraId="7EB558CA">
            <w:pPr>
              <w:pStyle w:val="8"/>
              <w:jc w:val="both"/>
              <w:rPr>
                <w:rFonts w:ascii="Times New Roman"/>
                <w:color w:val="auto"/>
                <w:sz w:val="20"/>
              </w:rPr>
            </w:pPr>
          </w:p>
        </w:tc>
        <w:tc>
          <w:tcPr>
            <w:tcW w:w="2714" w:type="dxa"/>
            <w:vAlign w:val="top"/>
          </w:tcPr>
          <w:p w14:paraId="73C32314">
            <w:pPr>
              <w:pStyle w:val="8"/>
              <w:spacing w:before="1" w:line="242" w:lineRule="auto"/>
              <w:ind w:left="108" w:right="92"/>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1"/>
                <w:sz w:val="21"/>
              </w:rPr>
              <w:t xml:space="preserve">其他责任人员处 </w:t>
            </w:r>
            <w:r>
              <w:rPr>
                <w:color w:val="auto"/>
                <w:sz w:val="21"/>
              </w:rPr>
              <w:t>1</w:t>
            </w:r>
            <w:r>
              <w:rPr>
                <w:color w:val="auto"/>
                <w:spacing w:val="-16"/>
                <w:sz w:val="21"/>
              </w:rPr>
              <w:t xml:space="preserve"> 万元以上</w:t>
            </w:r>
          </w:p>
          <w:p w14:paraId="12D9CEC0">
            <w:pPr>
              <w:pStyle w:val="8"/>
              <w:spacing w:before="3" w:line="250" w:lineRule="exact"/>
              <w:ind w:left="108"/>
              <w:jc w:val="both"/>
              <w:rPr>
                <w:color w:val="auto"/>
                <w:sz w:val="21"/>
              </w:rPr>
            </w:pPr>
            <w:r>
              <w:rPr>
                <w:color w:val="auto"/>
                <w:sz w:val="21"/>
              </w:rPr>
              <w:t>1.6 万元以下罚款。</w:t>
            </w:r>
          </w:p>
        </w:tc>
        <w:tc>
          <w:tcPr>
            <w:tcW w:w="2717" w:type="dxa"/>
            <w:vAlign w:val="top"/>
          </w:tcPr>
          <w:p w14:paraId="0354CDC3">
            <w:pPr>
              <w:pStyle w:val="8"/>
              <w:spacing w:before="1" w:line="242" w:lineRule="auto"/>
              <w:ind w:left="108" w:right="95"/>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0"/>
                <w:sz w:val="21"/>
              </w:rPr>
              <w:t xml:space="preserve">其他责任人员处 </w:t>
            </w:r>
            <w:r>
              <w:rPr>
                <w:color w:val="auto"/>
                <w:sz w:val="21"/>
              </w:rPr>
              <w:t>1.6</w:t>
            </w:r>
            <w:r>
              <w:rPr>
                <w:color w:val="auto"/>
                <w:spacing w:val="-20"/>
                <w:sz w:val="21"/>
              </w:rPr>
              <w:t xml:space="preserve"> 万元以</w:t>
            </w:r>
          </w:p>
          <w:p w14:paraId="2527282B">
            <w:pPr>
              <w:pStyle w:val="8"/>
              <w:spacing w:before="3" w:line="250" w:lineRule="exact"/>
              <w:ind w:left="108"/>
              <w:jc w:val="both"/>
              <w:rPr>
                <w:color w:val="auto"/>
                <w:sz w:val="21"/>
              </w:rPr>
            </w:pPr>
            <w:r>
              <w:rPr>
                <w:color w:val="auto"/>
                <w:sz w:val="21"/>
              </w:rPr>
              <w:t>上 2.4 万元以下罚款。</w:t>
            </w:r>
          </w:p>
        </w:tc>
        <w:tc>
          <w:tcPr>
            <w:tcW w:w="3900" w:type="dxa"/>
            <w:vAlign w:val="top"/>
          </w:tcPr>
          <w:p w14:paraId="2873037E">
            <w:pPr>
              <w:pStyle w:val="8"/>
              <w:spacing w:before="138" w:line="242" w:lineRule="auto"/>
              <w:ind w:left="106" w:right="92"/>
              <w:jc w:val="both"/>
              <w:rPr>
                <w:color w:val="auto"/>
                <w:sz w:val="21"/>
              </w:rPr>
            </w:pPr>
            <w:r>
              <w:rPr>
                <w:color w:val="auto"/>
                <w:spacing w:val="-13"/>
                <w:sz w:val="21"/>
              </w:rPr>
              <w:t>对法定代表人、主要负责人、直接负责的</w:t>
            </w:r>
            <w:r>
              <w:rPr>
                <w:color w:val="auto"/>
                <w:spacing w:val="-3"/>
                <w:sz w:val="21"/>
              </w:rPr>
              <w:t xml:space="preserve">主管人员和其他责任人员处 </w:t>
            </w:r>
            <w:r>
              <w:rPr>
                <w:color w:val="auto"/>
                <w:sz w:val="21"/>
              </w:rPr>
              <w:t>2.4</w:t>
            </w:r>
            <w:r>
              <w:rPr>
                <w:color w:val="auto"/>
                <w:spacing w:val="-2"/>
                <w:sz w:val="21"/>
              </w:rPr>
              <w:t xml:space="preserve"> 万元以</w:t>
            </w:r>
          </w:p>
          <w:p w14:paraId="171C3E98">
            <w:pPr>
              <w:pStyle w:val="8"/>
              <w:spacing w:before="1"/>
              <w:ind w:left="106"/>
              <w:jc w:val="both"/>
              <w:rPr>
                <w:color w:val="auto"/>
                <w:sz w:val="21"/>
              </w:rPr>
            </w:pPr>
            <w:r>
              <w:rPr>
                <w:color w:val="auto"/>
                <w:sz w:val="21"/>
              </w:rPr>
              <w:t>上 3 万元以下罚款。</w:t>
            </w:r>
          </w:p>
        </w:tc>
      </w:tr>
    </w:tbl>
    <w:p w14:paraId="3F72135D">
      <w:pPr>
        <w:pStyle w:val="4"/>
        <w:jc w:val="both"/>
        <w:rPr>
          <w:rFonts w:ascii="Times New Roman"/>
          <w:color w:val="auto"/>
          <w:sz w:val="20"/>
        </w:rPr>
      </w:pPr>
    </w:p>
    <w:p w14:paraId="28674C9E">
      <w:pPr>
        <w:pStyle w:val="4"/>
        <w:jc w:val="both"/>
        <w:rPr>
          <w:rFonts w:ascii="Times New Roman"/>
          <w:color w:val="auto"/>
          <w:sz w:val="20"/>
        </w:rPr>
      </w:pPr>
    </w:p>
    <w:p w14:paraId="1194968E">
      <w:pPr>
        <w:pStyle w:val="4"/>
        <w:jc w:val="both"/>
        <w:rPr>
          <w:rFonts w:ascii="Times New Roman"/>
          <w:color w:val="auto"/>
          <w:sz w:val="20"/>
        </w:rPr>
      </w:pPr>
    </w:p>
    <w:tbl>
      <w:tblPr>
        <w:tblStyle w:val="6"/>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487"/>
        <w:gridCol w:w="696"/>
        <w:gridCol w:w="2715"/>
        <w:gridCol w:w="2714"/>
        <w:gridCol w:w="2717"/>
        <w:gridCol w:w="3900"/>
      </w:tblGrid>
      <w:tr w14:paraId="6EFA9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restart"/>
            <w:vAlign w:val="top"/>
          </w:tcPr>
          <w:p w14:paraId="59A04FEE">
            <w:pPr>
              <w:pStyle w:val="8"/>
              <w:jc w:val="both"/>
              <w:rPr>
                <w:rFonts w:ascii="Times New Roman"/>
                <w:color w:val="auto"/>
                <w:sz w:val="20"/>
              </w:rPr>
            </w:pPr>
          </w:p>
          <w:p w14:paraId="0A7C7513">
            <w:pPr>
              <w:pStyle w:val="8"/>
              <w:jc w:val="both"/>
              <w:rPr>
                <w:rFonts w:ascii="Times New Roman"/>
                <w:color w:val="auto"/>
                <w:sz w:val="20"/>
              </w:rPr>
            </w:pPr>
          </w:p>
          <w:p w14:paraId="51240303">
            <w:pPr>
              <w:pStyle w:val="8"/>
              <w:jc w:val="both"/>
              <w:rPr>
                <w:rFonts w:ascii="Times New Roman"/>
                <w:color w:val="auto"/>
                <w:sz w:val="20"/>
              </w:rPr>
            </w:pPr>
          </w:p>
          <w:p w14:paraId="17118093">
            <w:pPr>
              <w:pStyle w:val="8"/>
              <w:jc w:val="both"/>
              <w:rPr>
                <w:rFonts w:ascii="Times New Roman"/>
                <w:color w:val="auto"/>
                <w:sz w:val="20"/>
              </w:rPr>
            </w:pPr>
          </w:p>
          <w:p w14:paraId="2748F30F">
            <w:pPr>
              <w:pStyle w:val="8"/>
              <w:jc w:val="both"/>
              <w:rPr>
                <w:rFonts w:ascii="Times New Roman"/>
                <w:color w:val="auto"/>
                <w:sz w:val="20"/>
              </w:rPr>
            </w:pPr>
          </w:p>
          <w:p w14:paraId="36D43D5D">
            <w:pPr>
              <w:pStyle w:val="8"/>
              <w:jc w:val="both"/>
              <w:rPr>
                <w:rFonts w:ascii="Times New Roman"/>
                <w:color w:val="auto"/>
                <w:sz w:val="20"/>
              </w:rPr>
            </w:pPr>
          </w:p>
          <w:p w14:paraId="0DB00FDD">
            <w:pPr>
              <w:pStyle w:val="8"/>
              <w:jc w:val="both"/>
              <w:rPr>
                <w:rFonts w:ascii="Times New Roman"/>
                <w:color w:val="auto"/>
                <w:sz w:val="20"/>
              </w:rPr>
            </w:pPr>
          </w:p>
          <w:p w14:paraId="63EF6C23">
            <w:pPr>
              <w:pStyle w:val="8"/>
              <w:jc w:val="both"/>
              <w:rPr>
                <w:rFonts w:ascii="Times New Roman"/>
                <w:color w:val="auto"/>
                <w:sz w:val="20"/>
              </w:rPr>
            </w:pPr>
          </w:p>
          <w:p w14:paraId="3E25CC51">
            <w:pPr>
              <w:pStyle w:val="8"/>
              <w:jc w:val="both"/>
              <w:rPr>
                <w:rFonts w:ascii="Times New Roman"/>
                <w:color w:val="auto"/>
                <w:sz w:val="20"/>
              </w:rPr>
            </w:pPr>
          </w:p>
          <w:p w14:paraId="0F3AD224">
            <w:pPr>
              <w:pStyle w:val="8"/>
              <w:jc w:val="both"/>
              <w:rPr>
                <w:rFonts w:ascii="Times New Roman"/>
                <w:color w:val="auto"/>
                <w:sz w:val="20"/>
              </w:rPr>
            </w:pPr>
          </w:p>
          <w:p w14:paraId="000FAECC">
            <w:pPr>
              <w:pStyle w:val="8"/>
              <w:jc w:val="both"/>
              <w:rPr>
                <w:rFonts w:ascii="Times New Roman"/>
                <w:color w:val="auto"/>
                <w:sz w:val="20"/>
              </w:rPr>
            </w:pPr>
          </w:p>
          <w:p w14:paraId="7D648FC2">
            <w:pPr>
              <w:pStyle w:val="8"/>
              <w:jc w:val="both"/>
              <w:rPr>
                <w:rFonts w:ascii="Times New Roman"/>
                <w:color w:val="auto"/>
                <w:sz w:val="20"/>
              </w:rPr>
            </w:pPr>
          </w:p>
          <w:p w14:paraId="044B5C45">
            <w:pPr>
              <w:pStyle w:val="8"/>
              <w:jc w:val="both"/>
              <w:rPr>
                <w:rFonts w:ascii="Times New Roman"/>
                <w:color w:val="auto"/>
                <w:sz w:val="20"/>
              </w:rPr>
            </w:pPr>
          </w:p>
          <w:p w14:paraId="37721671">
            <w:pPr>
              <w:pStyle w:val="8"/>
              <w:jc w:val="both"/>
              <w:rPr>
                <w:rFonts w:ascii="Times New Roman"/>
                <w:color w:val="auto"/>
                <w:sz w:val="20"/>
              </w:rPr>
            </w:pPr>
          </w:p>
          <w:p w14:paraId="1DDBB5A1">
            <w:pPr>
              <w:pStyle w:val="8"/>
              <w:jc w:val="both"/>
              <w:rPr>
                <w:rFonts w:ascii="Times New Roman"/>
                <w:color w:val="auto"/>
                <w:sz w:val="20"/>
              </w:rPr>
            </w:pPr>
          </w:p>
          <w:p w14:paraId="5E0163DA">
            <w:pPr>
              <w:pStyle w:val="8"/>
              <w:spacing w:before="10"/>
              <w:jc w:val="both"/>
              <w:rPr>
                <w:rFonts w:ascii="Times New Roman"/>
                <w:color w:val="auto"/>
                <w:sz w:val="20"/>
              </w:rPr>
            </w:pPr>
          </w:p>
          <w:p w14:paraId="566F07F7">
            <w:pPr>
              <w:pStyle w:val="8"/>
              <w:ind w:left="9"/>
              <w:jc w:val="center"/>
              <w:rPr>
                <w:color w:val="auto"/>
                <w:sz w:val="21"/>
              </w:rPr>
            </w:pPr>
            <w:r>
              <w:rPr>
                <w:color w:val="auto"/>
                <w:w w:val="100"/>
                <w:sz w:val="21"/>
              </w:rPr>
              <w:t>9</w:t>
            </w:r>
          </w:p>
        </w:tc>
        <w:tc>
          <w:tcPr>
            <w:tcW w:w="1183" w:type="dxa"/>
            <w:gridSpan w:val="2"/>
            <w:vAlign w:val="top"/>
          </w:tcPr>
          <w:p w14:paraId="1501CE83">
            <w:pPr>
              <w:pStyle w:val="8"/>
              <w:spacing w:before="3"/>
              <w:jc w:val="both"/>
              <w:rPr>
                <w:rFonts w:ascii="Times New Roman"/>
                <w:color w:val="auto"/>
                <w:sz w:val="20"/>
              </w:rPr>
            </w:pPr>
          </w:p>
          <w:p w14:paraId="35F95B31">
            <w:pPr>
              <w:pStyle w:val="8"/>
              <w:spacing w:before="1"/>
              <w:ind w:left="170"/>
              <w:jc w:val="both"/>
              <w:rPr>
                <w:b/>
                <w:color w:val="auto"/>
                <w:sz w:val="21"/>
              </w:rPr>
            </w:pPr>
            <w:r>
              <w:rPr>
                <w:b/>
                <w:color w:val="auto"/>
                <w:sz w:val="21"/>
              </w:rPr>
              <w:t>违法行为</w:t>
            </w:r>
          </w:p>
        </w:tc>
        <w:tc>
          <w:tcPr>
            <w:tcW w:w="12046" w:type="dxa"/>
            <w:gridSpan w:val="4"/>
            <w:vAlign w:val="top"/>
          </w:tcPr>
          <w:p w14:paraId="09CB1080">
            <w:pPr>
              <w:pStyle w:val="8"/>
              <w:spacing w:before="97" w:line="244" w:lineRule="auto"/>
              <w:ind w:left="108" w:right="99" w:firstLine="420"/>
              <w:jc w:val="both"/>
              <w:rPr>
                <w:color w:val="auto"/>
                <w:sz w:val="21"/>
              </w:rPr>
            </w:pPr>
            <w:r>
              <w:rPr>
                <w:color w:val="auto"/>
                <w:sz w:val="21"/>
              </w:rPr>
              <w:t>为医疗器械网络交易提供服务的电子商务平台经营者违反本条例规定，未履行对入网医疗器械经营者进行实名登记、审查许可、注册、备案情况，制止并报告违法行为、停止提供网络交易平台服务等管理义务的</w:t>
            </w:r>
          </w:p>
        </w:tc>
      </w:tr>
      <w:tr w14:paraId="0F1CF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8" w:hRule="atLeast"/>
        </w:trPr>
        <w:tc>
          <w:tcPr>
            <w:tcW w:w="562" w:type="dxa"/>
            <w:vMerge w:val="continue"/>
            <w:tcBorders>
              <w:top w:val="nil"/>
            </w:tcBorders>
            <w:vAlign w:val="top"/>
          </w:tcPr>
          <w:p w14:paraId="3CF4E058">
            <w:pPr>
              <w:jc w:val="both"/>
              <w:rPr>
                <w:color w:val="auto"/>
                <w:sz w:val="2"/>
                <w:szCs w:val="2"/>
              </w:rPr>
            </w:pPr>
          </w:p>
        </w:tc>
        <w:tc>
          <w:tcPr>
            <w:tcW w:w="1183" w:type="dxa"/>
            <w:gridSpan w:val="2"/>
            <w:vAlign w:val="top"/>
          </w:tcPr>
          <w:p w14:paraId="3E8F5DBE">
            <w:pPr>
              <w:pStyle w:val="8"/>
              <w:jc w:val="both"/>
              <w:rPr>
                <w:rFonts w:ascii="Times New Roman"/>
                <w:color w:val="auto"/>
                <w:sz w:val="20"/>
              </w:rPr>
            </w:pPr>
          </w:p>
          <w:p w14:paraId="694B7A1C">
            <w:pPr>
              <w:pStyle w:val="8"/>
              <w:jc w:val="both"/>
              <w:rPr>
                <w:rFonts w:ascii="Times New Roman"/>
                <w:color w:val="auto"/>
                <w:sz w:val="20"/>
              </w:rPr>
            </w:pPr>
          </w:p>
          <w:p w14:paraId="767608F5">
            <w:pPr>
              <w:pStyle w:val="8"/>
              <w:jc w:val="both"/>
              <w:rPr>
                <w:rFonts w:ascii="Times New Roman"/>
                <w:color w:val="auto"/>
                <w:sz w:val="20"/>
              </w:rPr>
            </w:pPr>
          </w:p>
          <w:p w14:paraId="5FA364E7">
            <w:pPr>
              <w:pStyle w:val="8"/>
              <w:jc w:val="both"/>
              <w:rPr>
                <w:rFonts w:ascii="Times New Roman"/>
                <w:color w:val="auto"/>
                <w:sz w:val="20"/>
              </w:rPr>
            </w:pPr>
          </w:p>
          <w:p w14:paraId="6383546D">
            <w:pPr>
              <w:pStyle w:val="8"/>
              <w:spacing w:before="9"/>
              <w:jc w:val="both"/>
              <w:rPr>
                <w:rFonts w:ascii="Times New Roman"/>
                <w:color w:val="auto"/>
                <w:sz w:val="21"/>
              </w:rPr>
            </w:pPr>
          </w:p>
          <w:p w14:paraId="579C067A">
            <w:pPr>
              <w:pStyle w:val="8"/>
              <w:ind w:left="170"/>
              <w:jc w:val="both"/>
              <w:rPr>
                <w:b/>
                <w:color w:val="auto"/>
                <w:sz w:val="21"/>
              </w:rPr>
            </w:pPr>
            <w:r>
              <w:rPr>
                <w:b/>
                <w:color w:val="auto"/>
                <w:sz w:val="21"/>
              </w:rPr>
              <w:t>处罚依据</w:t>
            </w:r>
          </w:p>
        </w:tc>
        <w:tc>
          <w:tcPr>
            <w:tcW w:w="12046" w:type="dxa"/>
            <w:gridSpan w:val="4"/>
            <w:vAlign w:val="top"/>
          </w:tcPr>
          <w:p w14:paraId="1F54E501">
            <w:pPr>
              <w:pStyle w:val="8"/>
              <w:spacing w:before="80" w:line="244" w:lineRule="auto"/>
              <w:ind w:left="108" w:right="99" w:firstLine="420"/>
              <w:jc w:val="both"/>
              <w:rPr>
                <w:color w:val="auto"/>
                <w:sz w:val="21"/>
              </w:rPr>
            </w:pPr>
            <w:r>
              <w:rPr>
                <w:color w:val="auto"/>
                <w:sz w:val="21"/>
              </w:rPr>
              <w:t>根据《医疗器械监督管理条例》第九十二条规定，由负责药品监督管理的部门依照《中华人民共和国电子商务法》的规定给予处罚。</w:t>
            </w:r>
          </w:p>
          <w:p w14:paraId="1CABFF21">
            <w:pPr>
              <w:pStyle w:val="8"/>
              <w:tabs>
                <w:tab w:val="left" w:pos="4541"/>
              </w:tabs>
              <w:spacing w:line="244" w:lineRule="auto"/>
              <w:ind w:left="108" w:right="98" w:firstLine="420"/>
              <w:jc w:val="both"/>
              <w:rPr>
                <w:color w:val="auto"/>
                <w:sz w:val="21"/>
              </w:rPr>
            </w:pPr>
            <w:r>
              <w:rPr>
                <w:color w:val="auto"/>
                <w:sz w:val="21"/>
              </w:rPr>
              <w:t>《中华人民共和国电子商务法》第八十条</w:t>
            </w:r>
            <w:r>
              <w:rPr>
                <w:color w:val="auto"/>
                <w:sz w:val="21"/>
              </w:rPr>
              <w:tab/>
            </w:r>
            <w:r>
              <w:rPr>
                <w:color w:val="auto"/>
                <w:sz w:val="21"/>
              </w:rPr>
              <w:t>电子商务平台经营者有下列行为之一的，由有关主管部门责令限期改正；逾期</w:t>
            </w:r>
            <w:r>
              <w:rPr>
                <w:color w:val="auto"/>
                <w:spacing w:val="-17"/>
                <w:sz w:val="21"/>
              </w:rPr>
              <w:t>不</w:t>
            </w:r>
            <w:r>
              <w:rPr>
                <w:color w:val="auto"/>
                <w:sz w:val="21"/>
              </w:rPr>
              <w:t>改正</w:t>
            </w:r>
            <w:r>
              <w:rPr>
                <w:color w:val="auto"/>
                <w:spacing w:val="-3"/>
                <w:sz w:val="21"/>
              </w:rPr>
              <w:t>的</w:t>
            </w:r>
            <w:r>
              <w:rPr>
                <w:color w:val="auto"/>
                <w:sz w:val="21"/>
              </w:rPr>
              <w:t>，</w:t>
            </w:r>
            <w:r>
              <w:rPr>
                <w:color w:val="auto"/>
                <w:spacing w:val="-3"/>
                <w:sz w:val="21"/>
              </w:rPr>
              <w:t>处</w:t>
            </w:r>
            <w:r>
              <w:rPr>
                <w:color w:val="auto"/>
                <w:sz w:val="21"/>
              </w:rPr>
              <w:t>二</w:t>
            </w:r>
            <w:r>
              <w:rPr>
                <w:color w:val="auto"/>
                <w:spacing w:val="-3"/>
                <w:sz w:val="21"/>
              </w:rPr>
              <w:t>万</w:t>
            </w:r>
            <w:r>
              <w:rPr>
                <w:color w:val="auto"/>
                <w:sz w:val="21"/>
              </w:rPr>
              <w:t>元</w:t>
            </w:r>
            <w:r>
              <w:rPr>
                <w:color w:val="auto"/>
                <w:spacing w:val="-3"/>
                <w:sz w:val="21"/>
              </w:rPr>
              <w:t>以</w:t>
            </w:r>
            <w:r>
              <w:rPr>
                <w:color w:val="auto"/>
                <w:sz w:val="21"/>
              </w:rPr>
              <w:t>上</w:t>
            </w:r>
            <w:r>
              <w:rPr>
                <w:color w:val="auto"/>
                <w:spacing w:val="-3"/>
                <w:sz w:val="21"/>
              </w:rPr>
              <w:t>十</w:t>
            </w:r>
            <w:r>
              <w:rPr>
                <w:color w:val="auto"/>
                <w:sz w:val="21"/>
              </w:rPr>
              <w:t>万元</w:t>
            </w:r>
            <w:r>
              <w:rPr>
                <w:color w:val="auto"/>
                <w:spacing w:val="-3"/>
                <w:sz w:val="21"/>
              </w:rPr>
              <w:t>以</w:t>
            </w:r>
            <w:r>
              <w:rPr>
                <w:color w:val="auto"/>
                <w:sz w:val="21"/>
              </w:rPr>
              <w:t>下</w:t>
            </w:r>
            <w:r>
              <w:rPr>
                <w:color w:val="auto"/>
                <w:spacing w:val="-3"/>
                <w:sz w:val="21"/>
              </w:rPr>
              <w:t>的</w:t>
            </w:r>
            <w:r>
              <w:rPr>
                <w:color w:val="auto"/>
                <w:sz w:val="21"/>
              </w:rPr>
              <w:t>罚</w:t>
            </w:r>
            <w:r>
              <w:rPr>
                <w:color w:val="auto"/>
                <w:spacing w:val="-3"/>
                <w:sz w:val="21"/>
              </w:rPr>
              <w:t>款</w:t>
            </w:r>
            <w:r>
              <w:rPr>
                <w:color w:val="auto"/>
                <w:sz w:val="21"/>
              </w:rPr>
              <w:t>；</w:t>
            </w:r>
            <w:r>
              <w:rPr>
                <w:color w:val="auto"/>
                <w:spacing w:val="-3"/>
                <w:sz w:val="21"/>
              </w:rPr>
              <w:t>情</w:t>
            </w:r>
            <w:r>
              <w:rPr>
                <w:color w:val="auto"/>
                <w:sz w:val="21"/>
              </w:rPr>
              <w:t>节</w:t>
            </w:r>
            <w:r>
              <w:rPr>
                <w:color w:val="auto"/>
                <w:spacing w:val="-3"/>
                <w:sz w:val="21"/>
              </w:rPr>
              <w:t>严</w:t>
            </w:r>
            <w:r>
              <w:rPr>
                <w:color w:val="auto"/>
                <w:sz w:val="21"/>
              </w:rPr>
              <w:t>重的</w:t>
            </w:r>
            <w:r>
              <w:rPr>
                <w:color w:val="auto"/>
                <w:spacing w:val="-3"/>
                <w:sz w:val="21"/>
              </w:rPr>
              <w:t>，</w:t>
            </w:r>
            <w:r>
              <w:rPr>
                <w:color w:val="auto"/>
                <w:sz w:val="21"/>
              </w:rPr>
              <w:t>责</w:t>
            </w:r>
            <w:r>
              <w:rPr>
                <w:color w:val="auto"/>
                <w:spacing w:val="-3"/>
                <w:sz w:val="21"/>
              </w:rPr>
              <w:t>令</w:t>
            </w:r>
            <w:r>
              <w:rPr>
                <w:color w:val="auto"/>
                <w:sz w:val="21"/>
              </w:rPr>
              <w:t>停</w:t>
            </w:r>
            <w:r>
              <w:rPr>
                <w:color w:val="auto"/>
                <w:spacing w:val="-3"/>
                <w:sz w:val="21"/>
              </w:rPr>
              <w:t>业</w:t>
            </w:r>
            <w:r>
              <w:rPr>
                <w:color w:val="auto"/>
                <w:sz w:val="21"/>
              </w:rPr>
              <w:t>整</w:t>
            </w:r>
            <w:r>
              <w:rPr>
                <w:color w:val="auto"/>
                <w:spacing w:val="-3"/>
                <w:sz w:val="21"/>
              </w:rPr>
              <w:t>顿</w:t>
            </w:r>
            <w:r>
              <w:rPr>
                <w:color w:val="auto"/>
                <w:sz w:val="21"/>
              </w:rPr>
              <w:t>，</w:t>
            </w:r>
            <w:r>
              <w:rPr>
                <w:color w:val="auto"/>
                <w:spacing w:val="-3"/>
                <w:sz w:val="21"/>
              </w:rPr>
              <w:t>并</w:t>
            </w:r>
            <w:r>
              <w:rPr>
                <w:color w:val="auto"/>
                <w:sz w:val="21"/>
              </w:rPr>
              <w:t>处十</w:t>
            </w:r>
            <w:r>
              <w:rPr>
                <w:color w:val="auto"/>
                <w:spacing w:val="-3"/>
                <w:sz w:val="21"/>
              </w:rPr>
              <w:t>万</w:t>
            </w:r>
            <w:r>
              <w:rPr>
                <w:color w:val="auto"/>
                <w:sz w:val="21"/>
              </w:rPr>
              <w:t>元</w:t>
            </w:r>
            <w:r>
              <w:rPr>
                <w:color w:val="auto"/>
                <w:spacing w:val="-3"/>
                <w:sz w:val="21"/>
              </w:rPr>
              <w:t>以</w:t>
            </w:r>
            <w:r>
              <w:rPr>
                <w:color w:val="auto"/>
                <w:sz w:val="21"/>
              </w:rPr>
              <w:t>上</w:t>
            </w:r>
            <w:r>
              <w:rPr>
                <w:color w:val="auto"/>
                <w:spacing w:val="-3"/>
                <w:sz w:val="21"/>
              </w:rPr>
              <w:t>五</w:t>
            </w:r>
            <w:r>
              <w:rPr>
                <w:color w:val="auto"/>
                <w:sz w:val="21"/>
              </w:rPr>
              <w:t>十</w:t>
            </w:r>
            <w:r>
              <w:rPr>
                <w:color w:val="auto"/>
                <w:spacing w:val="-3"/>
                <w:sz w:val="21"/>
              </w:rPr>
              <w:t>万</w:t>
            </w:r>
            <w:r>
              <w:rPr>
                <w:color w:val="auto"/>
                <w:sz w:val="21"/>
              </w:rPr>
              <w:t>元</w:t>
            </w:r>
            <w:r>
              <w:rPr>
                <w:color w:val="auto"/>
                <w:spacing w:val="-3"/>
                <w:sz w:val="21"/>
              </w:rPr>
              <w:t>以</w:t>
            </w:r>
            <w:r>
              <w:rPr>
                <w:color w:val="auto"/>
                <w:sz w:val="21"/>
              </w:rPr>
              <w:t>下的</w:t>
            </w:r>
            <w:r>
              <w:rPr>
                <w:color w:val="auto"/>
                <w:spacing w:val="-3"/>
                <w:sz w:val="21"/>
              </w:rPr>
              <w:t>罚</w:t>
            </w:r>
            <w:r>
              <w:rPr>
                <w:color w:val="auto"/>
                <w:sz w:val="21"/>
              </w:rPr>
              <w:t>款：</w:t>
            </w:r>
          </w:p>
          <w:p w14:paraId="01E4FAC1">
            <w:pPr>
              <w:pStyle w:val="8"/>
              <w:spacing w:line="266" w:lineRule="exact"/>
              <w:ind w:left="528"/>
              <w:jc w:val="both"/>
              <w:rPr>
                <w:color w:val="auto"/>
                <w:sz w:val="21"/>
              </w:rPr>
            </w:pPr>
            <w:r>
              <w:rPr>
                <w:color w:val="auto"/>
                <w:sz w:val="21"/>
              </w:rPr>
              <w:t>（一）不履行本法第二十七条规定的核验、登记义务的；</w:t>
            </w:r>
          </w:p>
          <w:p w14:paraId="6B0F7F0C">
            <w:pPr>
              <w:pStyle w:val="8"/>
              <w:ind w:left="528"/>
              <w:jc w:val="both"/>
              <w:rPr>
                <w:color w:val="auto"/>
                <w:sz w:val="21"/>
              </w:rPr>
            </w:pPr>
            <w:r>
              <w:rPr>
                <w:color w:val="auto"/>
                <w:sz w:val="21"/>
              </w:rPr>
              <w:t>（二）不按照本法第二十八条规定向市场监督管理部门、税务部门报送有关信息的；</w:t>
            </w:r>
          </w:p>
          <w:p w14:paraId="32531A47">
            <w:pPr>
              <w:pStyle w:val="8"/>
              <w:spacing w:before="2"/>
              <w:ind w:left="528"/>
              <w:jc w:val="both"/>
              <w:rPr>
                <w:color w:val="auto"/>
                <w:sz w:val="21"/>
              </w:rPr>
            </w:pPr>
            <w:r>
              <w:rPr>
                <w:color w:val="auto"/>
                <w:sz w:val="21"/>
              </w:rPr>
              <w:t>（三）不按照本法第二十九条规定对违法情形采取必要的处置措施，或者未向有关主管部门报告的；</w:t>
            </w:r>
          </w:p>
          <w:p w14:paraId="30E9CAA4">
            <w:pPr>
              <w:pStyle w:val="8"/>
              <w:spacing w:before="5" w:line="242" w:lineRule="auto"/>
              <w:ind w:left="528" w:right="4360"/>
              <w:jc w:val="both"/>
              <w:rPr>
                <w:color w:val="auto"/>
                <w:sz w:val="21"/>
              </w:rPr>
            </w:pPr>
            <w:r>
              <w:rPr>
                <w:color w:val="auto"/>
                <w:sz w:val="21"/>
              </w:rPr>
              <w:t>（四）不履行本法第三十一条规定的商品和服务信息、交易信息保存义务的。法律、行政法规对前款规定的违法行为的处罚另有规定的，依照其规定。</w:t>
            </w:r>
          </w:p>
        </w:tc>
      </w:tr>
      <w:tr w14:paraId="390D9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continue"/>
            <w:tcBorders>
              <w:top w:val="nil"/>
            </w:tcBorders>
            <w:vAlign w:val="top"/>
          </w:tcPr>
          <w:p w14:paraId="67CEEA9F">
            <w:pPr>
              <w:jc w:val="both"/>
              <w:rPr>
                <w:color w:val="auto"/>
                <w:sz w:val="2"/>
                <w:szCs w:val="2"/>
              </w:rPr>
            </w:pPr>
          </w:p>
        </w:tc>
        <w:tc>
          <w:tcPr>
            <w:tcW w:w="1183" w:type="dxa"/>
            <w:gridSpan w:val="2"/>
            <w:vAlign w:val="top"/>
          </w:tcPr>
          <w:p w14:paraId="15DB1B59">
            <w:pPr>
              <w:pStyle w:val="8"/>
              <w:spacing w:before="149"/>
              <w:ind w:left="170"/>
              <w:jc w:val="both"/>
              <w:rPr>
                <w:b/>
                <w:color w:val="auto"/>
                <w:sz w:val="21"/>
              </w:rPr>
            </w:pPr>
            <w:r>
              <w:rPr>
                <w:b/>
                <w:color w:val="auto"/>
                <w:sz w:val="21"/>
              </w:rPr>
              <w:t>裁量等级</w:t>
            </w:r>
          </w:p>
        </w:tc>
        <w:tc>
          <w:tcPr>
            <w:tcW w:w="2715" w:type="dxa"/>
            <w:vAlign w:val="top"/>
          </w:tcPr>
          <w:p w14:paraId="2487C791">
            <w:pPr>
              <w:pStyle w:val="8"/>
              <w:spacing w:before="149"/>
              <w:ind w:left="108"/>
              <w:jc w:val="both"/>
              <w:rPr>
                <w:b/>
                <w:color w:val="auto"/>
                <w:sz w:val="21"/>
              </w:rPr>
            </w:pPr>
            <w:r>
              <w:rPr>
                <w:b/>
                <w:color w:val="auto"/>
                <w:sz w:val="21"/>
              </w:rPr>
              <w:t>减轻</w:t>
            </w:r>
          </w:p>
        </w:tc>
        <w:tc>
          <w:tcPr>
            <w:tcW w:w="2714" w:type="dxa"/>
            <w:vAlign w:val="top"/>
          </w:tcPr>
          <w:p w14:paraId="044F6F9F">
            <w:pPr>
              <w:pStyle w:val="8"/>
              <w:spacing w:before="149"/>
              <w:ind w:left="108"/>
              <w:jc w:val="both"/>
              <w:rPr>
                <w:b/>
                <w:color w:val="auto"/>
                <w:sz w:val="21"/>
              </w:rPr>
            </w:pPr>
            <w:r>
              <w:rPr>
                <w:b/>
                <w:color w:val="auto"/>
                <w:sz w:val="21"/>
              </w:rPr>
              <w:t>从轻</w:t>
            </w:r>
          </w:p>
        </w:tc>
        <w:tc>
          <w:tcPr>
            <w:tcW w:w="2717" w:type="dxa"/>
            <w:vAlign w:val="top"/>
          </w:tcPr>
          <w:p w14:paraId="3FA5B018">
            <w:pPr>
              <w:pStyle w:val="8"/>
              <w:spacing w:before="149"/>
              <w:ind w:left="108"/>
              <w:jc w:val="both"/>
              <w:rPr>
                <w:b/>
                <w:color w:val="auto"/>
                <w:sz w:val="21"/>
              </w:rPr>
            </w:pPr>
            <w:r>
              <w:rPr>
                <w:b/>
                <w:color w:val="auto"/>
                <w:sz w:val="21"/>
              </w:rPr>
              <w:t>一般</w:t>
            </w:r>
          </w:p>
        </w:tc>
        <w:tc>
          <w:tcPr>
            <w:tcW w:w="3900" w:type="dxa"/>
            <w:vAlign w:val="top"/>
          </w:tcPr>
          <w:p w14:paraId="3415028F">
            <w:pPr>
              <w:pStyle w:val="8"/>
              <w:spacing w:before="149"/>
              <w:ind w:left="106"/>
              <w:jc w:val="both"/>
              <w:rPr>
                <w:b/>
                <w:color w:val="auto"/>
                <w:sz w:val="21"/>
              </w:rPr>
            </w:pPr>
            <w:r>
              <w:rPr>
                <w:b/>
                <w:color w:val="auto"/>
                <w:sz w:val="21"/>
              </w:rPr>
              <w:t>从重</w:t>
            </w:r>
          </w:p>
        </w:tc>
      </w:tr>
      <w:tr w14:paraId="3B7A4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3129A187">
            <w:pPr>
              <w:jc w:val="both"/>
              <w:rPr>
                <w:color w:val="auto"/>
                <w:sz w:val="2"/>
                <w:szCs w:val="2"/>
              </w:rPr>
            </w:pPr>
          </w:p>
        </w:tc>
        <w:tc>
          <w:tcPr>
            <w:tcW w:w="1183" w:type="dxa"/>
            <w:gridSpan w:val="2"/>
            <w:vAlign w:val="top"/>
          </w:tcPr>
          <w:p w14:paraId="193C3A05">
            <w:pPr>
              <w:pStyle w:val="8"/>
              <w:spacing w:before="3"/>
              <w:jc w:val="both"/>
              <w:rPr>
                <w:rFonts w:ascii="Times New Roman"/>
                <w:color w:val="auto"/>
                <w:sz w:val="20"/>
              </w:rPr>
            </w:pPr>
          </w:p>
          <w:p w14:paraId="0D0616A1">
            <w:pPr>
              <w:pStyle w:val="8"/>
              <w:spacing w:before="1"/>
              <w:ind w:left="170"/>
              <w:jc w:val="both"/>
              <w:rPr>
                <w:b/>
                <w:color w:val="auto"/>
                <w:sz w:val="21"/>
              </w:rPr>
            </w:pPr>
            <w:r>
              <w:rPr>
                <w:b/>
                <w:color w:val="auto"/>
                <w:sz w:val="21"/>
              </w:rPr>
              <w:t>裁量情节</w:t>
            </w:r>
          </w:p>
        </w:tc>
        <w:tc>
          <w:tcPr>
            <w:tcW w:w="2715" w:type="dxa"/>
            <w:vAlign w:val="top"/>
          </w:tcPr>
          <w:p w14:paraId="0114CCBB">
            <w:pPr>
              <w:pStyle w:val="8"/>
              <w:spacing w:before="97" w:line="242" w:lineRule="auto"/>
              <w:ind w:left="108" w:right="97"/>
              <w:jc w:val="both"/>
              <w:rPr>
                <w:color w:val="auto"/>
                <w:sz w:val="21"/>
              </w:rPr>
            </w:pPr>
            <w:r>
              <w:rPr>
                <w:color w:val="auto"/>
                <w:sz w:val="21"/>
              </w:rPr>
              <w:t>符合裁量规定减轻行政处罚情形的。</w:t>
            </w:r>
          </w:p>
        </w:tc>
        <w:tc>
          <w:tcPr>
            <w:tcW w:w="2714" w:type="dxa"/>
            <w:vAlign w:val="top"/>
          </w:tcPr>
          <w:p w14:paraId="12D130BC">
            <w:pPr>
              <w:pStyle w:val="8"/>
              <w:spacing w:before="97" w:line="242" w:lineRule="auto"/>
              <w:ind w:left="108" w:right="94"/>
              <w:jc w:val="both"/>
              <w:rPr>
                <w:color w:val="auto"/>
                <w:sz w:val="21"/>
              </w:rPr>
            </w:pPr>
            <w:r>
              <w:rPr>
                <w:color w:val="auto"/>
                <w:sz w:val="21"/>
              </w:rPr>
              <w:t>符合裁量规定从轻行政处罚情形的。</w:t>
            </w:r>
          </w:p>
        </w:tc>
        <w:tc>
          <w:tcPr>
            <w:tcW w:w="2717" w:type="dxa"/>
            <w:vAlign w:val="top"/>
          </w:tcPr>
          <w:p w14:paraId="15F18940">
            <w:pPr>
              <w:pStyle w:val="8"/>
              <w:spacing w:before="97" w:line="242" w:lineRule="auto"/>
              <w:ind w:left="108" w:right="97"/>
              <w:jc w:val="both"/>
              <w:rPr>
                <w:color w:val="auto"/>
                <w:sz w:val="21"/>
              </w:rPr>
            </w:pPr>
            <w:r>
              <w:rPr>
                <w:color w:val="auto"/>
                <w:sz w:val="21"/>
              </w:rPr>
              <w:t>符合裁量规定一般行政处罚情形的。</w:t>
            </w:r>
          </w:p>
        </w:tc>
        <w:tc>
          <w:tcPr>
            <w:tcW w:w="3900" w:type="dxa"/>
            <w:vAlign w:val="top"/>
          </w:tcPr>
          <w:p w14:paraId="1CAE9A7D">
            <w:pPr>
              <w:pStyle w:val="8"/>
              <w:spacing w:before="3"/>
              <w:jc w:val="both"/>
              <w:rPr>
                <w:rFonts w:ascii="Times New Roman"/>
                <w:color w:val="auto"/>
                <w:sz w:val="20"/>
              </w:rPr>
            </w:pPr>
          </w:p>
          <w:p w14:paraId="4C2B6C0D">
            <w:pPr>
              <w:pStyle w:val="8"/>
              <w:spacing w:before="1"/>
              <w:ind w:left="106"/>
              <w:jc w:val="both"/>
              <w:rPr>
                <w:color w:val="auto"/>
                <w:sz w:val="21"/>
              </w:rPr>
            </w:pPr>
            <w:r>
              <w:rPr>
                <w:color w:val="auto"/>
                <w:sz w:val="21"/>
              </w:rPr>
              <w:t>符合裁量规定从重行政处罚情形的。</w:t>
            </w:r>
          </w:p>
        </w:tc>
      </w:tr>
      <w:tr w14:paraId="69045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3" w:hRule="atLeast"/>
        </w:trPr>
        <w:tc>
          <w:tcPr>
            <w:tcW w:w="562" w:type="dxa"/>
            <w:vMerge w:val="continue"/>
            <w:tcBorders>
              <w:top w:val="nil"/>
            </w:tcBorders>
            <w:vAlign w:val="top"/>
          </w:tcPr>
          <w:p w14:paraId="0C0E5C4B">
            <w:pPr>
              <w:jc w:val="both"/>
              <w:rPr>
                <w:color w:val="auto"/>
                <w:sz w:val="2"/>
                <w:szCs w:val="2"/>
              </w:rPr>
            </w:pPr>
          </w:p>
        </w:tc>
        <w:tc>
          <w:tcPr>
            <w:tcW w:w="487" w:type="dxa"/>
            <w:vMerge w:val="restart"/>
            <w:vAlign w:val="top"/>
          </w:tcPr>
          <w:p w14:paraId="30E9408D">
            <w:pPr>
              <w:pStyle w:val="8"/>
              <w:jc w:val="both"/>
              <w:rPr>
                <w:rFonts w:ascii="Times New Roman"/>
                <w:color w:val="auto"/>
                <w:sz w:val="20"/>
              </w:rPr>
            </w:pPr>
          </w:p>
          <w:p w14:paraId="71F04790">
            <w:pPr>
              <w:pStyle w:val="8"/>
              <w:jc w:val="both"/>
              <w:rPr>
                <w:rFonts w:ascii="Times New Roman"/>
                <w:color w:val="auto"/>
                <w:sz w:val="20"/>
              </w:rPr>
            </w:pPr>
          </w:p>
          <w:p w14:paraId="2CAD7C54">
            <w:pPr>
              <w:pStyle w:val="8"/>
              <w:jc w:val="both"/>
              <w:rPr>
                <w:rFonts w:ascii="Times New Roman"/>
                <w:color w:val="auto"/>
                <w:sz w:val="20"/>
              </w:rPr>
            </w:pPr>
          </w:p>
          <w:p w14:paraId="3F08D045">
            <w:pPr>
              <w:pStyle w:val="8"/>
              <w:spacing w:before="3"/>
              <w:jc w:val="both"/>
              <w:rPr>
                <w:rFonts w:ascii="Times New Roman"/>
                <w:color w:val="auto"/>
                <w:sz w:val="21"/>
              </w:rPr>
            </w:pPr>
          </w:p>
          <w:p w14:paraId="0C074A85">
            <w:pPr>
              <w:pStyle w:val="8"/>
              <w:spacing w:line="242" w:lineRule="auto"/>
              <w:ind w:left="136" w:right="127"/>
              <w:jc w:val="both"/>
              <w:rPr>
                <w:b/>
                <w:color w:val="auto"/>
                <w:sz w:val="21"/>
              </w:rPr>
            </w:pPr>
            <w:r>
              <w:rPr>
                <w:b/>
                <w:color w:val="auto"/>
                <w:sz w:val="21"/>
              </w:rPr>
              <w:t>裁量基准</w:t>
            </w:r>
          </w:p>
        </w:tc>
        <w:tc>
          <w:tcPr>
            <w:tcW w:w="696" w:type="dxa"/>
            <w:vAlign w:val="top"/>
          </w:tcPr>
          <w:p w14:paraId="3110D037">
            <w:pPr>
              <w:pStyle w:val="8"/>
              <w:spacing w:before="9"/>
              <w:jc w:val="both"/>
              <w:rPr>
                <w:rFonts w:ascii="Times New Roman"/>
                <w:color w:val="auto"/>
                <w:sz w:val="16"/>
              </w:rPr>
            </w:pPr>
          </w:p>
          <w:p w14:paraId="6269D9D8">
            <w:pPr>
              <w:pStyle w:val="8"/>
              <w:spacing w:line="242" w:lineRule="auto"/>
              <w:ind w:left="242" w:right="230"/>
              <w:jc w:val="both"/>
              <w:rPr>
                <w:b/>
                <w:color w:val="auto"/>
                <w:sz w:val="21"/>
              </w:rPr>
            </w:pPr>
            <w:r>
              <w:rPr>
                <w:b/>
                <w:color w:val="auto"/>
                <w:sz w:val="21"/>
              </w:rPr>
              <w:t>一般情形</w:t>
            </w:r>
          </w:p>
        </w:tc>
        <w:tc>
          <w:tcPr>
            <w:tcW w:w="2715" w:type="dxa"/>
            <w:vAlign w:val="top"/>
          </w:tcPr>
          <w:p w14:paraId="1ADC02E1">
            <w:pPr>
              <w:pStyle w:val="8"/>
              <w:jc w:val="both"/>
              <w:rPr>
                <w:rFonts w:ascii="Times New Roman"/>
                <w:color w:val="auto"/>
                <w:sz w:val="20"/>
              </w:rPr>
            </w:pPr>
          </w:p>
          <w:p w14:paraId="2A335DF6">
            <w:pPr>
              <w:pStyle w:val="8"/>
              <w:spacing w:before="6"/>
              <w:jc w:val="both"/>
              <w:rPr>
                <w:rFonts w:ascii="Times New Roman"/>
                <w:color w:val="auto"/>
                <w:sz w:val="20"/>
              </w:rPr>
            </w:pPr>
          </w:p>
          <w:p w14:paraId="3F3CDF33">
            <w:pPr>
              <w:pStyle w:val="8"/>
              <w:spacing w:line="242" w:lineRule="auto"/>
              <w:ind w:left="108" w:right="96"/>
              <w:jc w:val="both"/>
              <w:rPr>
                <w:color w:val="auto"/>
                <w:sz w:val="21"/>
              </w:rPr>
            </w:pPr>
            <w:r>
              <w:rPr>
                <w:color w:val="auto"/>
                <w:spacing w:val="-28"/>
                <w:sz w:val="21"/>
              </w:rPr>
              <w:t xml:space="preserve">处 </w:t>
            </w:r>
            <w:r>
              <w:rPr>
                <w:color w:val="auto"/>
                <w:sz w:val="21"/>
              </w:rPr>
              <w:t>0.2</w:t>
            </w:r>
            <w:r>
              <w:rPr>
                <w:color w:val="auto"/>
                <w:spacing w:val="-21"/>
                <w:sz w:val="21"/>
              </w:rPr>
              <w:t xml:space="preserve"> 万元以上 </w:t>
            </w:r>
            <w:r>
              <w:rPr>
                <w:color w:val="auto"/>
                <w:sz w:val="21"/>
              </w:rPr>
              <w:t>2</w:t>
            </w:r>
            <w:r>
              <w:rPr>
                <w:color w:val="auto"/>
                <w:spacing w:val="-17"/>
                <w:sz w:val="21"/>
              </w:rPr>
              <w:t xml:space="preserve"> 万元以下</w:t>
            </w:r>
            <w:r>
              <w:rPr>
                <w:color w:val="auto"/>
                <w:sz w:val="21"/>
              </w:rPr>
              <w:t>罚款。</w:t>
            </w:r>
          </w:p>
        </w:tc>
        <w:tc>
          <w:tcPr>
            <w:tcW w:w="2714" w:type="dxa"/>
            <w:vAlign w:val="top"/>
          </w:tcPr>
          <w:p w14:paraId="7B97B745">
            <w:pPr>
              <w:pStyle w:val="8"/>
              <w:jc w:val="both"/>
              <w:rPr>
                <w:rFonts w:ascii="Times New Roman"/>
                <w:color w:val="auto"/>
                <w:sz w:val="20"/>
              </w:rPr>
            </w:pPr>
          </w:p>
          <w:p w14:paraId="3EEB71FF">
            <w:pPr>
              <w:pStyle w:val="8"/>
              <w:spacing w:before="6"/>
              <w:jc w:val="both"/>
              <w:rPr>
                <w:rFonts w:ascii="Times New Roman"/>
                <w:color w:val="auto"/>
                <w:sz w:val="20"/>
              </w:rPr>
            </w:pPr>
          </w:p>
          <w:p w14:paraId="0D17A433">
            <w:pPr>
              <w:pStyle w:val="8"/>
              <w:spacing w:line="242" w:lineRule="auto"/>
              <w:ind w:left="108" w:right="93"/>
              <w:jc w:val="both"/>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4.4</w:t>
            </w:r>
            <w:r>
              <w:rPr>
                <w:color w:val="auto"/>
                <w:spacing w:val="-16"/>
                <w:sz w:val="21"/>
              </w:rPr>
              <w:t xml:space="preserve"> 万元以下</w:t>
            </w:r>
            <w:r>
              <w:rPr>
                <w:color w:val="auto"/>
                <w:sz w:val="21"/>
              </w:rPr>
              <w:t>罚款。</w:t>
            </w:r>
          </w:p>
        </w:tc>
        <w:tc>
          <w:tcPr>
            <w:tcW w:w="2717" w:type="dxa"/>
            <w:vAlign w:val="top"/>
          </w:tcPr>
          <w:p w14:paraId="299E398F">
            <w:pPr>
              <w:pStyle w:val="8"/>
              <w:jc w:val="both"/>
              <w:rPr>
                <w:rFonts w:ascii="Times New Roman"/>
                <w:color w:val="auto"/>
                <w:sz w:val="20"/>
              </w:rPr>
            </w:pPr>
          </w:p>
          <w:p w14:paraId="58106BD3">
            <w:pPr>
              <w:pStyle w:val="8"/>
              <w:spacing w:before="6"/>
              <w:jc w:val="both"/>
              <w:rPr>
                <w:rFonts w:ascii="Times New Roman"/>
                <w:color w:val="auto"/>
                <w:sz w:val="20"/>
              </w:rPr>
            </w:pPr>
          </w:p>
          <w:p w14:paraId="44023295">
            <w:pPr>
              <w:pStyle w:val="8"/>
              <w:spacing w:line="242" w:lineRule="auto"/>
              <w:ind w:left="108" w:right="95"/>
              <w:jc w:val="both"/>
              <w:rPr>
                <w:color w:val="auto"/>
                <w:sz w:val="21"/>
              </w:rPr>
            </w:pPr>
            <w:r>
              <w:rPr>
                <w:color w:val="auto"/>
                <w:spacing w:val="-28"/>
                <w:sz w:val="21"/>
              </w:rPr>
              <w:t xml:space="preserve">处 </w:t>
            </w:r>
            <w:r>
              <w:rPr>
                <w:color w:val="auto"/>
                <w:sz w:val="21"/>
              </w:rPr>
              <w:t>4.4</w:t>
            </w:r>
            <w:r>
              <w:rPr>
                <w:color w:val="auto"/>
                <w:spacing w:val="-20"/>
                <w:sz w:val="21"/>
              </w:rPr>
              <w:t xml:space="preserve"> 万元以上 </w:t>
            </w:r>
            <w:r>
              <w:rPr>
                <w:color w:val="auto"/>
                <w:sz w:val="21"/>
              </w:rPr>
              <w:t>7.6</w:t>
            </w:r>
            <w:r>
              <w:rPr>
                <w:color w:val="auto"/>
                <w:spacing w:val="-19"/>
                <w:sz w:val="21"/>
              </w:rPr>
              <w:t xml:space="preserve"> 万元以</w:t>
            </w:r>
            <w:r>
              <w:rPr>
                <w:color w:val="auto"/>
                <w:spacing w:val="-1"/>
                <w:sz w:val="21"/>
              </w:rPr>
              <w:t>下罚款。</w:t>
            </w:r>
          </w:p>
        </w:tc>
        <w:tc>
          <w:tcPr>
            <w:tcW w:w="3900" w:type="dxa"/>
            <w:vAlign w:val="top"/>
          </w:tcPr>
          <w:p w14:paraId="6ECA005E">
            <w:pPr>
              <w:pStyle w:val="8"/>
              <w:jc w:val="both"/>
              <w:rPr>
                <w:rFonts w:ascii="Times New Roman"/>
                <w:color w:val="auto"/>
                <w:sz w:val="20"/>
              </w:rPr>
            </w:pPr>
          </w:p>
          <w:p w14:paraId="0FC57B32">
            <w:pPr>
              <w:pStyle w:val="8"/>
              <w:jc w:val="both"/>
              <w:rPr>
                <w:rFonts w:ascii="Times New Roman"/>
                <w:color w:val="auto"/>
                <w:sz w:val="20"/>
              </w:rPr>
            </w:pPr>
          </w:p>
          <w:p w14:paraId="7A326068">
            <w:pPr>
              <w:pStyle w:val="8"/>
              <w:spacing w:before="141"/>
              <w:ind w:left="106"/>
              <w:jc w:val="both"/>
              <w:rPr>
                <w:color w:val="auto"/>
                <w:sz w:val="21"/>
              </w:rPr>
            </w:pPr>
            <w:r>
              <w:rPr>
                <w:color w:val="auto"/>
                <w:sz w:val="21"/>
              </w:rPr>
              <w:t>处 7.6 万元以上 10 万元以下罚款。</w:t>
            </w:r>
          </w:p>
        </w:tc>
      </w:tr>
      <w:tr w14:paraId="18288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6" w:hRule="atLeast"/>
        </w:trPr>
        <w:tc>
          <w:tcPr>
            <w:tcW w:w="562" w:type="dxa"/>
            <w:vMerge w:val="continue"/>
            <w:tcBorders>
              <w:top w:val="nil"/>
            </w:tcBorders>
            <w:vAlign w:val="top"/>
          </w:tcPr>
          <w:p w14:paraId="782CAC72">
            <w:pPr>
              <w:jc w:val="both"/>
              <w:rPr>
                <w:color w:val="auto"/>
                <w:sz w:val="2"/>
                <w:szCs w:val="2"/>
              </w:rPr>
            </w:pPr>
          </w:p>
        </w:tc>
        <w:tc>
          <w:tcPr>
            <w:tcW w:w="487" w:type="dxa"/>
            <w:vMerge w:val="continue"/>
            <w:tcBorders>
              <w:top w:val="nil"/>
            </w:tcBorders>
            <w:vAlign w:val="top"/>
          </w:tcPr>
          <w:p w14:paraId="68A45CC3">
            <w:pPr>
              <w:jc w:val="both"/>
              <w:rPr>
                <w:color w:val="auto"/>
                <w:sz w:val="2"/>
                <w:szCs w:val="2"/>
              </w:rPr>
            </w:pPr>
          </w:p>
        </w:tc>
        <w:tc>
          <w:tcPr>
            <w:tcW w:w="696" w:type="dxa"/>
            <w:vAlign w:val="top"/>
          </w:tcPr>
          <w:p w14:paraId="4458AE15">
            <w:pPr>
              <w:pStyle w:val="8"/>
              <w:spacing w:before="58" w:line="242" w:lineRule="auto"/>
              <w:ind w:left="242" w:right="230"/>
              <w:jc w:val="both"/>
              <w:rPr>
                <w:b/>
                <w:color w:val="auto"/>
                <w:sz w:val="21"/>
              </w:rPr>
            </w:pPr>
            <w:r>
              <w:rPr>
                <w:b/>
                <w:color w:val="auto"/>
                <w:sz w:val="21"/>
              </w:rPr>
              <w:t>情节严重的</w:t>
            </w:r>
          </w:p>
        </w:tc>
        <w:tc>
          <w:tcPr>
            <w:tcW w:w="2715" w:type="dxa"/>
            <w:vAlign w:val="top"/>
          </w:tcPr>
          <w:p w14:paraId="5010FAFB">
            <w:pPr>
              <w:pStyle w:val="8"/>
              <w:jc w:val="both"/>
              <w:rPr>
                <w:rFonts w:ascii="Times New Roman"/>
                <w:color w:val="auto"/>
                <w:sz w:val="20"/>
              </w:rPr>
            </w:pPr>
          </w:p>
        </w:tc>
        <w:tc>
          <w:tcPr>
            <w:tcW w:w="2714" w:type="dxa"/>
            <w:vAlign w:val="top"/>
          </w:tcPr>
          <w:p w14:paraId="186DDD4C">
            <w:pPr>
              <w:pStyle w:val="8"/>
              <w:jc w:val="both"/>
              <w:rPr>
                <w:rFonts w:ascii="Times New Roman"/>
                <w:color w:val="auto"/>
                <w:sz w:val="20"/>
              </w:rPr>
            </w:pPr>
          </w:p>
          <w:p w14:paraId="73EE4698">
            <w:pPr>
              <w:pStyle w:val="8"/>
              <w:spacing w:before="6"/>
              <w:jc w:val="both"/>
              <w:rPr>
                <w:rFonts w:ascii="Times New Roman"/>
                <w:color w:val="auto"/>
                <w:sz w:val="20"/>
              </w:rPr>
            </w:pPr>
          </w:p>
          <w:p w14:paraId="42864768">
            <w:pPr>
              <w:pStyle w:val="8"/>
              <w:spacing w:line="242" w:lineRule="auto"/>
              <w:ind w:left="108" w:right="93"/>
              <w:jc w:val="both"/>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22</w:t>
            </w:r>
            <w:r>
              <w:rPr>
                <w:color w:val="auto"/>
                <w:spacing w:val="-16"/>
                <w:sz w:val="21"/>
              </w:rPr>
              <w:t xml:space="preserve"> 万元以下</w:t>
            </w:r>
            <w:r>
              <w:rPr>
                <w:color w:val="auto"/>
                <w:sz w:val="21"/>
              </w:rPr>
              <w:t>罚款。</w:t>
            </w:r>
          </w:p>
        </w:tc>
        <w:tc>
          <w:tcPr>
            <w:tcW w:w="2717" w:type="dxa"/>
            <w:vAlign w:val="top"/>
          </w:tcPr>
          <w:p w14:paraId="5DFFEAAA">
            <w:pPr>
              <w:pStyle w:val="8"/>
              <w:jc w:val="both"/>
              <w:rPr>
                <w:rFonts w:ascii="Times New Roman"/>
                <w:color w:val="auto"/>
                <w:sz w:val="20"/>
              </w:rPr>
            </w:pPr>
          </w:p>
          <w:p w14:paraId="43F2A0F2">
            <w:pPr>
              <w:pStyle w:val="8"/>
              <w:spacing w:before="6"/>
              <w:jc w:val="both"/>
              <w:rPr>
                <w:rFonts w:ascii="Times New Roman"/>
                <w:color w:val="auto"/>
                <w:sz w:val="20"/>
              </w:rPr>
            </w:pPr>
          </w:p>
          <w:p w14:paraId="711866AA">
            <w:pPr>
              <w:pStyle w:val="8"/>
              <w:spacing w:line="242" w:lineRule="auto"/>
              <w:ind w:left="108" w:right="95"/>
              <w:jc w:val="both"/>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万元以下</w:t>
            </w:r>
            <w:r>
              <w:rPr>
                <w:color w:val="auto"/>
                <w:sz w:val="21"/>
              </w:rPr>
              <w:t>罚款。</w:t>
            </w:r>
          </w:p>
        </w:tc>
        <w:tc>
          <w:tcPr>
            <w:tcW w:w="3900" w:type="dxa"/>
            <w:vAlign w:val="top"/>
          </w:tcPr>
          <w:p w14:paraId="71F8A425">
            <w:pPr>
              <w:pStyle w:val="8"/>
              <w:jc w:val="both"/>
              <w:rPr>
                <w:rFonts w:ascii="Times New Roman"/>
                <w:color w:val="auto"/>
                <w:sz w:val="20"/>
              </w:rPr>
            </w:pPr>
          </w:p>
          <w:p w14:paraId="368E1497">
            <w:pPr>
              <w:pStyle w:val="8"/>
              <w:jc w:val="both"/>
              <w:rPr>
                <w:rFonts w:ascii="Times New Roman"/>
                <w:color w:val="auto"/>
                <w:sz w:val="20"/>
              </w:rPr>
            </w:pPr>
          </w:p>
          <w:p w14:paraId="0E7D6308">
            <w:pPr>
              <w:pStyle w:val="8"/>
              <w:spacing w:before="143"/>
              <w:ind w:left="106"/>
              <w:jc w:val="both"/>
              <w:rPr>
                <w:color w:val="auto"/>
                <w:sz w:val="21"/>
              </w:rPr>
            </w:pPr>
            <w:r>
              <w:rPr>
                <w:color w:val="auto"/>
                <w:sz w:val="21"/>
              </w:rPr>
              <w:t>处 38 万元以上 50 万元以下罚款。</w:t>
            </w:r>
          </w:p>
        </w:tc>
      </w:tr>
    </w:tbl>
    <w:p w14:paraId="15172655">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67"/>
        <w:gridCol w:w="516"/>
        <w:gridCol w:w="2715"/>
        <w:gridCol w:w="2714"/>
        <w:gridCol w:w="2717"/>
        <w:gridCol w:w="3900"/>
      </w:tblGrid>
      <w:tr w14:paraId="009DE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restart"/>
            <w:vAlign w:val="top"/>
          </w:tcPr>
          <w:p w14:paraId="17508BF1">
            <w:pPr>
              <w:pStyle w:val="8"/>
              <w:jc w:val="both"/>
              <w:rPr>
                <w:rFonts w:ascii="Times New Roman"/>
                <w:color w:val="auto"/>
                <w:sz w:val="20"/>
              </w:rPr>
            </w:pPr>
          </w:p>
          <w:p w14:paraId="16942B82">
            <w:pPr>
              <w:pStyle w:val="8"/>
              <w:jc w:val="both"/>
              <w:rPr>
                <w:rFonts w:ascii="Times New Roman"/>
                <w:color w:val="auto"/>
                <w:sz w:val="20"/>
              </w:rPr>
            </w:pPr>
          </w:p>
          <w:p w14:paraId="24AB8E91">
            <w:pPr>
              <w:pStyle w:val="8"/>
              <w:jc w:val="both"/>
              <w:rPr>
                <w:rFonts w:ascii="Times New Roman"/>
                <w:color w:val="auto"/>
                <w:sz w:val="20"/>
              </w:rPr>
            </w:pPr>
          </w:p>
          <w:p w14:paraId="77971D63">
            <w:pPr>
              <w:pStyle w:val="8"/>
              <w:jc w:val="both"/>
              <w:rPr>
                <w:rFonts w:ascii="Times New Roman"/>
                <w:color w:val="auto"/>
                <w:sz w:val="20"/>
              </w:rPr>
            </w:pPr>
          </w:p>
          <w:p w14:paraId="2A8C8D0D">
            <w:pPr>
              <w:pStyle w:val="8"/>
              <w:jc w:val="both"/>
              <w:rPr>
                <w:rFonts w:ascii="Times New Roman"/>
                <w:color w:val="auto"/>
                <w:sz w:val="20"/>
              </w:rPr>
            </w:pPr>
          </w:p>
          <w:p w14:paraId="6A21BFD5">
            <w:pPr>
              <w:pStyle w:val="8"/>
              <w:jc w:val="both"/>
              <w:rPr>
                <w:rFonts w:ascii="Times New Roman"/>
                <w:color w:val="auto"/>
                <w:sz w:val="20"/>
              </w:rPr>
            </w:pPr>
          </w:p>
          <w:p w14:paraId="0CA32842">
            <w:pPr>
              <w:pStyle w:val="8"/>
              <w:jc w:val="both"/>
              <w:rPr>
                <w:rFonts w:ascii="Times New Roman"/>
                <w:color w:val="auto"/>
                <w:sz w:val="20"/>
              </w:rPr>
            </w:pPr>
          </w:p>
          <w:p w14:paraId="00142F01">
            <w:pPr>
              <w:pStyle w:val="8"/>
              <w:jc w:val="both"/>
              <w:rPr>
                <w:rFonts w:ascii="Times New Roman"/>
                <w:color w:val="auto"/>
                <w:sz w:val="20"/>
              </w:rPr>
            </w:pPr>
          </w:p>
          <w:p w14:paraId="7ABB8BF8">
            <w:pPr>
              <w:pStyle w:val="8"/>
              <w:jc w:val="both"/>
              <w:rPr>
                <w:rFonts w:ascii="Times New Roman"/>
                <w:color w:val="auto"/>
                <w:sz w:val="20"/>
              </w:rPr>
            </w:pPr>
          </w:p>
          <w:p w14:paraId="4FD8C2BC">
            <w:pPr>
              <w:pStyle w:val="8"/>
              <w:jc w:val="both"/>
              <w:rPr>
                <w:rFonts w:ascii="Times New Roman"/>
                <w:color w:val="auto"/>
                <w:sz w:val="20"/>
              </w:rPr>
            </w:pPr>
          </w:p>
          <w:p w14:paraId="22502139">
            <w:pPr>
              <w:pStyle w:val="8"/>
              <w:jc w:val="both"/>
              <w:rPr>
                <w:rFonts w:ascii="Times New Roman"/>
                <w:color w:val="auto"/>
                <w:sz w:val="20"/>
              </w:rPr>
            </w:pPr>
          </w:p>
          <w:p w14:paraId="2F51C63E">
            <w:pPr>
              <w:pStyle w:val="8"/>
              <w:jc w:val="both"/>
              <w:rPr>
                <w:rFonts w:ascii="Times New Roman"/>
                <w:color w:val="auto"/>
                <w:sz w:val="20"/>
              </w:rPr>
            </w:pPr>
          </w:p>
          <w:p w14:paraId="114B4933">
            <w:pPr>
              <w:pStyle w:val="8"/>
              <w:jc w:val="both"/>
              <w:rPr>
                <w:rFonts w:ascii="Times New Roman"/>
                <w:color w:val="auto"/>
                <w:sz w:val="20"/>
              </w:rPr>
            </w:pPr>
          </w:p>
          <w:p w14:paraId="002096EB">
            <w:pPr>
              <w:pStyle w:val="8"/>
              <w:jc w:val="both"/>
              <w:rPr>
                <w:rFonts w:ascii="Times New Roman"/>
                <w:color w:val="auto"/>
                <w:sz w:val="20"/>
              </w:rPr>
            </w:pPr>
          </w:p>
          <w:p w14:paraId="5E524DDD">
            <w:pPr>
              <w:pStyle w:val="8"/>
              <w:jc w:val="both"/>
              <w:rPr>
                <w:rFonts w:ascii="Times New Roman"/>
                <w:color w:val="auto"/>
                <w:sz w:val="20"/>
              </w:rPr>
            </w:pPr>
          </w:p>
          <w:p w14:paraId="03C8C7CC">
            <w:pPr>
              <w:pStyle w:val="8"/>
              <w:spacing w:before="10"/>
              <w:jc w:val="both"/>
              <w:rPr>
                <w:rFonts w:ascii="Times New Roman"/>
                <w:color w:val="auto"/>
                <w:sz w:val="19"/>
              </w:rPr>
            </w:pPr>
          </w:p>
          <w:p w14:paraId="3247C32B">
            <w:pPr>
              <w:pStyle w:val="8"/>
              <w:ind w:left="175"/>
              <w:jc w:val="both"/>
              <w:rPr>
                <w:b/>
                <w:color w:val="auto"/>
                <w:sz w:val="21"/>
              </w:rPr>
            </w:pPr>
            <w:r>
              <w:rPr>
                <w:b/>
                <w:color w:val="auto"/>
                <w:sz w:val="21"/>
              </w:rPr>
              <w:t>10</w:t>
            </w:r>
          </w:p>
        </w:tc>
        <w:tc>
          <w:tcPr>
            <w:tcW w:w="1183" w:type="dxa"/>
            <w:gridSpan w:val="2"/>
            <w:vAlign w:val="top"/>
          </w:tcPr>
          <w:p w14:paraId="477E9D62">
            <w:pPr>
              <w:pStyle w:val="8"/>
              <w:spacing w:before="3"/>
              <w:jc w:val="both"/>
              <w:rPr>
                <w:rFonts w:ascii="Times New Roman"/>
                <w:color w:val="auto"/>
                <w:sz w:val="20"/>
              </w:rPr>
            </w:pPr>
          </w:p>
          <w:p w14:paraId="3A48964F">
            <w:pPr>
              <w:pStyle w:val="8"/>
              <w:spacing w:before="1"/>
              <w:ind w:left="170"/>
              <w:jc w:val="both"/>
              <w:rPr>
                <w:b/>
                <w:color w:val="auto"/>
                <w:sz w:val="21"/>
              </w:rPr>
            </w:pPr>
            <w:r>
              <w:rPr>
                <w:b/>
                <w:color w:val="auto"/>
                <w:sz w:val="21"/>
              </w:rPr>
              <w:t>违法行为</w:t>
            </w:r>
          </w:p>
        </w:tc>
        <w:tc>
          <w:tcPr>
            <w:tcW w:w="12046" w:type="dxa"/>
            <w:gridSpan w:val="4"/>
            <w:vAlign w:val="top"/>
          </w:tcPr>
          <w:p w14:paraId="73D9EBA1">
            <w:pPr>
              <w:pStyle w:val="8"/>
              <w:spacing w:before="3"/>
              <w:jc w:val="both"/>
              <w:rPr>
                <w:rFonts w:ascii="Times New Roman"/>
                <w:color w:val="auto"/>
                <w:sz w:val="20"/>
              </w:rPr>
            </w:pPr>
          </w:p>
          <w:p w14:paraId="630EFD44">
            <w:pPr>
              <w:pStyle w:val="8"/>
              <w:spacing w:before="1"/>
              <w:ind w:left="528"/>
              <w:jc w:val="both"/>
              <w:rPr>
                <w:color w:val="auto"/>
                <w:sz w:val="21"/>
              </w:rPr>
            </w:pPr>
            <w:r>
              <w:rPr>
                <w:color w:val="auto"/>
                <w:sz w:val="21"/>
              </w:rPr>
              <w:t>未进行医疗器械临床试验机构备案开展临床试验的</w:t>
            </w:r>
          </w:p>
        </w:tc>
      </w:tr>
      <w:tr w14:paraId="29AC3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9" w:hRule="atLeast"/>
        </w:trPr>
        <w:tc>
          <w:tcPr>
            <w:tcW w:w="562" w:type="dxa"/>
            <w:vMerge w:val="continue"/>
            <w:tcBorders>
              <w:top w:val="nil"/>
            </w:tcBorders>
            <w:vAlign w:val="top"/>
          </w:tcPr>
          <w:p w14:paraId="747757FC">
            <w:pPr>
              <w:jc w:val="both"/>
              <w:rPr>
                <w:color w:val="auto"/>
                <w:sz w:val="2"/>
                <w:szCs w:val="2"/>
              </w:rPr>
            </w:pPr>
          </w:p>
        </w:tc>
        <w:tc>
          <w:tcPr>
            <w:tcW w:w="1183" w:type="dxa"/>
            <w:gridSpan w:val="2"/>
            <w:vAlign w:val="top"/>
          </w:tcPr>
          <w:p w14:paraId="112205A4">
            <w:pPr>
              <w:pStyle w:val="8"/>
              <w:jc w:val="both"/>
              <w:rPr>
                <w:rFonts w:ascii="Times New Roman"/>
                <w:color w:val="auto"/>
                <w:sz w:val="20"/>
              </w:rPr>
            </w:pPr>
          </w:p>
          <w:p w14:paraId="78536273">
            <w:pPr>
              <w:pStyle w:val="8"/>
              <w:jc w:val="both"/>
              <w:rPr>
                <w:rFonts w:ascii="Times New Roman"/>
                <w:color w:val="auto"/>
                <w:sz w:val="20"/>
              </w:rPr>
            </w:pPr>
          </w:p>
          <w:p w14:paraId="58EB9D4A">
            <w:pPr>
              <w:pStyle w:val="8"/>
              <w:spacing w:before="9"/>
              <w:jc w:val="both"/>
              <w:rPr>
                <w:rFonts w:ascii="Times New Roman"/>
                <w:color w:val="auto"/>
                <w:sz w:val="24"/>
              </w:rPr>
            </w:pPr>
          </w:p>
          <w:p w14:paraId="40CD93D7">
            <w:pPr>
              <w:pStyle w:val="8"/>
              <w:ind w:left="170"/>
              <w:jc w:val="both"/>
              <w:rPr>
                <w:b/>
                <w:color w:val="auto"/>
                <w:sz w:val="21"/>
              </w:rPr>
            </w:pPr>
            <w:r>
              <w:rPr>
                <w:b/>
                <w:color w:val="auto"/>
                <w:sz w:val="21"/>
              </w:rPr>
              <w:t>处罚依据</w:t>
            </w:r>
          </w:p>
        </w:tc>
        <w:tc>
          <w:tcPr>
            <w:tcW w:w="12046" w:type="dxa"/>
            <w:gridSpan w:val="4"/>
            <w:vAlign w:val="top"/>
          </w:tcPr>
          <w:p w14:paraId="51B8716F">
            <w:pPr>
              <w:pStyle w:val="8"/>
              <w:jc w:val="both"/>
              <w:rPr>
                <w:rFonts w:ascii="Times New Roman"/>
                <w:color w:val="auto"/>
                <w:sz w:val="20"/>
              </w:rPr>
            </w:pPr>
          </w:p>
          <w:p w14:paraId="055CB2B4">
            <w:pPr>
              <w:pStyle w:val="8"/>
              <w:spacing w:before="11"/>
              <w:jc w:val="both"/>
              <w:rPr>
                <w:rFonts w:ascii="Times New Roman"/>
                <w:color w:val="auto"/>
                <w:sz w:val="20"/>
              </w:rPr>
            </w:pPr>
          </w:p>
          <w:p w14:paraId="4F5685A0">
            <w:pPr>
              <w:pStyle w:val="8"/>
              <w:spacing w:line="244" w:lineRule="auto"/>
              <w:ind w:left="108" w:right="-15" w:firstLine="420"/>
              <w:jc w:val="both"/>
              <w:rPr>
                <w:color w:val="auto"/>
                <w:sz w:val="21"/>
              </w:rPr>
            </w:pPr>
            <w:r>
              <w:rPr>
                <w:color w:val="auto"/>
                <w:spacing w:val="-7"/>
                <w:sz w:val="21"/>
              </w:rPr>
              <w:t xml:space="preserve">根据《医疗器械监督管理条例》第九十三条第一款规定，由负责药品监督管理的部门责令停止临床试验并改正；拒不改正的， 该临床试验数据不得用于产品注册、备案，处 </w:t>
            </w:r>
            <w:r>
              <w:rPr>
                <w:color w:val="auto"/>
                <w:sz w:val="21"/>
              </w:rPr>
              <w:t>5</w:t>
            </w:r>
            <w:r>
              <w:rPr>
                <w:color w:val="auto"/>
                <w:spacing w:val="-16"/>
                <w:sz w:val="21"/>
              </w:rPr>
              <w:t xml:space="preserve"> 万元以上 </w:t>
            </w:r>
            <w:r>
              <w:rPr>
                <w:color w:val="auto"/>
                <w:sz w:val="21"/>
              </w:rPr>
              <w:t>10</w:t>
            </w:r>
            <w:r>
              <w:rPr>
                <w:color w:val="auto"/>
                <w:spacing w:val="-8"/>
                <w:sz w:val="21"/>
              </w:rPr>
              <w:t xml:space="preserve"> 万元以下罚款，并向社会公告；造成严重后果的</w:t>
            </w:r>
            <w:r>
              <w:rPr>
                <w:color w:val="auto"/>
                <w:sz w:val="21"/>
              </w:rPr>
              <w:t>，5</w:t>
            </w:r>
            <w:r>
              <w:rPr>
                <w:color w:val="auto"/>
                <w:spacing w:val="-8"/>
                <w:sz w:val="21"/>
              </w:rPr>
              <w:t xml:space="preserve"> 年内禁止其开展</w:t>
            </w:r>
          </w:p>
          <w:p w14:paraId="78DF7EA7">
            <w:pPr>
              <w:pStyle w:val="8"/>
              <w:spacing w:line="266" w:lineRule="exact"/>
              <w:ind w:left="108"/>
              <w:jc w:val="both"/>
              <w:rPr>
                <w:color w:val="auto"/>
                <w:sz w:val="21"/>
              </w:rPr>
            </w:pPr>
            <w:r>
              <w:rPr>
                <w:color w:val="auto"/>
                <w:sz w:val="21"/>
              </w:rPr>
              <w:t>相关专业医疗器械临床试验，并处 10 万元以上 30 万元以下罚款。</w:t>
            </w:r>
          </w:p>
        </w:tc>
      </w:tr>
      <w:tr w14:paraId="5B67E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2" w:type="dxa"/>
            <w:vMerge w:val="continue"/>
            <w:tcBorders>
              <w:top w:val="nil"/>
            </w:tcBorders>
            <w:vAlign w:val="top"/>
          </w:tcPr>
          <w:p w14:paraId="12B85107">
            <w:pPr>
              <w:jc w:val="both"/>
              <w:rPr>
                <w:color w:val="auto"/>
                <w:sz w:val="2"/>
                <w:szCs w:val="2"/>
              </w:rPr>
            </w:pPr>
          </w:p>
        </w:tc>
        <w:tc>
          <w:tcPr>
            <w:tcW w:w="1183" w:type="dxa"/>
            <w:gridSpan w:val="2"/>
            <w:vAlign w:val="top"/>
          </w:tcPr>
          <w:p w14:paraId="20A3158A">
            <w:pPr>
              <w:pStyle w:val="8"/>
              <w:spacing w:before="147"/>
              <w:ind w:left="170"/>
              <w:jc w:val="both"/>
              <w:rPr>
                <w:b/>
                <w:color w:val="auto"/>
                <w:sz w:val="21"/>
              </w:rPr>
            </w:pPr>
            <w:r>
              <w:rPr>
                <w:b/>
                <w:color w:val="auto"/>
                <w:sz w:val="21"/>
              </w:rPr>
              <w:t>裁量等级</w:t>
            </w:r>
          </w:p>
        </w:tc>
        <w:tc>
          <w:tcPr>
            <w:tcW w:w="2715" w:type="dxa"/>
            <w:vAlign w:val="top"/>
          </w:tcPr>
          <w:p w14:paraId="6747809F">
            <w:pPr>
              <w:pStyle w:val="8"/>
              <w:spacing w:before="147"/>
              <w:ind w:left="108"/>
              <w:jc w:val="both"/>
              <w:rPr>
                <w:b/>
                <w:color w:val="auto"/>
                <w:sz w:val="21"/>
              </w:rPr>
            </w:pPr>
            <w:r>
              <w:rPr>
                <w:b/>
                <w:color w:val="auto"/>
                <w:sz w:val="21"/>
              </w:rPr>
              <w:t>减轻</w:t>
            </w:r>
          </w:p>
        </w:tc>
        <w:tc>
          <w:tcPr>
            <w:tcW w:w="2714" w:type="dxa"/>
            <w:vAlign w:val="top"/>
          </w:tcPr>
          <w:p w14:paraId="241B0848">
            <w:pPr>
              <w:pStyle w:val="8"/>
              <w:spacing w:before="147"/>
              <w:ind w:left="108"/>
              <w:jc w:val="both"/>
              <w:rPr>
                <w:b/>
                <w:color w:val="auto"/>
                <w:sz w:val="21"/>
              </w:rPr>
            </w:pPr>
            <w:r>
              <w:rPr>
                <w:b/>
                <w:color w:val="auto"/>
                <w:sz w:val="21"/>
              </w:rPr>
              <w:t>从轻</w:t>
            </w:r>
          </w:p>
        </w:tc>
        <w:tc>
          <w:tcPr>
            <w:tcW w:w="2717" w:type="dxa"/>
            <w:vAlign w:val="top"/>
          </w:tcPr>
          <w:p w14:paraId="30469BB2">
            <w:pPr>
              <w:pStyle w:val="8"/>
              <w:spacing w:before="147"/>
              <w:ind w:left="108"/>
              <w:jc w:val="both"/>
              <w:rPr>
                <w:b/>
                <w:color w:val="auto"/>
                <w:sz w:val="21"/>
              </w:rPr>
            </w:pPr>
            <w:r>
              <w:rPr>
                <w:b/>
                <w:color w:val="auto"/>
                <w:sz w:val="21"/>
              </w:rPr>
              <w:t>一般</w:t>
            </w:r>
          </w:p>
        </w:tc>
        <w:tc>
          <w:tcPr>
            <w:tcW w:w="3900" w:type="dxa"/>
            <w:vAlign w:val="top"/>
          </w:tcPr>
          <w:p w14:paraId="691E4E3F">
            <w:pPr>
              <w:pStyle w:val="8"/>
              <w:spacing w:before="147"/>
              <w:ind w:left="106"/>
              <w:jc w:val="both"/>
              <w:rPr>
                <w:b/>
                <w:color w:val="auto"/>
                <w:sz w:val="21"/>
              </w:rPr>
            </w:pPr>
            <w:r>
              <w:rPr>
                <w:b/>
                <w:color w:val="auto"/>
                <w:sz w:val="21"/>
              </w:rPr>
              <w:t>从重</w:t>
            </w:r>
          </w:p>
        </w:tc>
      </w:tr>
      <w:tr w14:paraId="35D71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569657B9">
            <w:pPr>
              <w:jc w:val="both"/>
              <w:rPr>
                <w:color w:val="auto"/>
                <w:sz w:val="2"/>
                <w:szCs w:val="2"/>
              </w:rPr>
            </w:pPr>
          </w:p>
        </w:tc>
        <w:tc>
          <w:tcPr>
            <w:tcW w:w="1183" w:type="dxa"/>
            <w:gridSpan w:val="2"/>
            <w:vAlign w:val="top"/>
          </w:tcPr>
          <w:p w14:paraId="07009015">
            <w:pPr>
              <w:pStyle w:val="8"/>
              <w:spacing w:before="3"/>
              <w:jc w:val="both"/>
              <w:rPr>
                <w:rFonts w:ascii="Times New Roman"/>
                <w:color w:val="auto"/>
                <w:sz w:val="20"/>
              </w:rPr>
            </w:pPr>
          </w:p>
          <w:p w14:paraId="3892CEA1">
            <w:pPr>
              <w:pStyle w:val="8"/>
              <w:spacing w:before="1"/>
              <w:ind w:left="170"/>
              <w:jc w:val="both"/>
              <w:rPr>
                <w:b/>
                <w:color w:val="auto"/>
                <w:sz w:val="21"/>
              </w:rPr>
            </w:pPr>
            <w:r>
              <w:rPr>
                <w:b/>
                <w:color w:val="auto"/>
                <w:sz w:val="21"/>
              </w:rPr>
              <w:t>裁量情节</w:t>
            </w:r>
          </w:p>
        </w:tc>
        <w:tc>
          <w:tcPr>
            <w:tcW w:w="2715" w:type="dxa"/>
            <w:vAlign w:val="top"/>
          </w:tcPr>
          <w:p w14:paraId="5952E71E">
            <w:pPr>
              <w:pStyle w:val="8"/>
              <w:spacing w:before="97" w:line="244" w:lineRule="auto"/>
              <w:ind w:left="108" w:right="97"/>
              <w:jc w:val="both"/>
              <w:rPr>
                <w:color w:val="auto"/>
                <w:sz w:val="21"/>
              </w:rPr>
            </w:pPr>
            <w:r>
              <w:rPr>
                <w:color w:val="auto"/>
                <w:sz w:val="21"/>
              </w:rPr>
              <w:t>符合裁量规定减轻行政处罚情形的。</w:t>
            </w:r>
          </w:p>
        </w:tc>
        <w:tc>
          <w:tcPr>
            <w:tcW w:w="2714" w:type="dxa"/>
            <w:vAlign w:val="top"/>
          </w:tcPr>
          <w:p w14:paraId="2B9D7647">
            <w:pPr>
              <w:pStyle w:val="8"/>
              <w:spacing w:before="97" w:line="244" w:lineRule="auto"/>
              <w:ind w:left="108" w:right="94"/>
              <w:jc w:val="both"/>
              <w:rPr>
                <w:color w:val="auto"/>
                <w:sz w:val="21"/>
              </w:rPr>
            </w:pPr>
            <w:r>
              <w:rPr>
                <w:color w:val="auto"/>
                <w:sz w:val="21"/>
              </w:rPr>
              <w:t>符合裁量规定从轻行政处罚情形的。</w:t>
            </w:r>
          </w:p>
        </w:tc>
        <w:tc>
          <w:tcPr>
            <w:tcW w:w="2717" w:type="dxa"/>
            <w:vAlign w:val="top"/>
          </w:tcPr>
          <w:p w14:paraId="5261EAE6">
            <w:pPr>
              <w:pStyle w:val="8"/>
              <w:spacing w:before="97" w:line="244" w:lineRule="auto"/>
              <w:ind w:left="108" w:right="97"/>
              <w:jc w:val="both"/>
              <w:rPr>
                <w:color w:val="auto"/>
                <w:sz w:val="21"/>
              </w:rPr>
            </w:pPr>
            <w:r>
              <w:rPr>
                <w:color w:val="auto"/>
                <w:sz w:val="21"/>
              </w:rPr>
              <w:t>符合裁量规定一般行政处罚情形的。</w:t>
            </w:r>
          </w:p>
        </w:tc>
        <w:tc>
          <w:tcPr>
            <w:tcW w:w="3900" w:type="dxa"/>
            <w:vAlign w:val="top"/>
          </w:tcPr>
          <w:p w14:paraId="5B59DDD2">
            <w:pPr>
              <w:pStyle w:val="8"/>
              <w:spacing w:before="3"/>
              <w:jc w:val="both"/>
              <w:rPr>
                <w:rFonts w:ascii="Times New Roman"/>
                <w:color w:val="auto"/>
                <w:sz w:val="20"/>
              </w:rPr>
            </w:pPr>
          </w:p>
          <w:p w14:paraId="7BD0C1D2">
            <w:pPr>
              <w:pStyle w:val="8"/>
              <w:spacing w:before="1"/>
              <w:ind w:left="106"/>
              <w:jc w:val="both"/>
              <w:rPr>
                <w:color w:val="auto"/>
                <w:sz w:val="21"/>
              </w:rPr>
            </w:pPr>
            <w:r>
              <w:rPr>
                <w:color w:val="auto"/>
                <w:sz w:val="21"/>
              </w:rPr>
              <w:t>符合裁量规定从重行政处罚情形的。</w:t>
            </w:r>
          </w:p>
        </w:tc>
      </w:tr>
      <w:tr w14:paraId="1171B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53C8DD16">
            <w:pPr>
              <w:jc w:val="both"/>
              <w:rPr>
                <w:color w:val="auto"/>
                <w:sz w:val="2"/>
                <w:szCs w:val="2"/>
              </w:rPr>
            </w:pPr>
          </w:p>
        </w:tc>
        <w:tc>
          <w:tcPr>
            <w:tcW w:w="667" w:type="dxa"/>
            <w:vMerge w:val="restart"/>
            <w:vAlign w:val="top"/>
          </w:tcPr>
          <w:p w14:paraId="07FE90BC">
            <w:pPr>
              <w:pStyle w:val="8"/>
              <w:jc w:val="both"/>
              <w:rPr>
                <w:rFonts w:ascii="Times New Roman"/>
                <w:color w:val="auto"/>
                <w:sz w:val="20"/>
              </w:rPr>
            </w:pPr>
          </w:p>
          <w:p w14:paraId="1991E05C">
            <w:pPr>
              <w:pStyle w:val="8"/>
              <w:jc w:val="both"/>
              <w:rPr>
                <w:rFonts w:ascii="Times New Roman"/>
                <w:color w:val="auto"/>
                <w:sz w:val="20"/>
              </w:rPr>
            </w:pPr>
          </w:p>
          <w:p w14:paraId="74A9369D">
            <w:pPr>
              <w:pStyle w:val="8"/>
              <w:jc w:val="both"/>
              <w:rPr>
                <w:rFonts w:ascii="Times New Roman"/>
                <w:color w:val="auto"/>
                <w:sz w:val="20"/>
              </w:rPr>
            </w:pPr>
          </w:p>
          <w:p w14:paraId="148F52E3">
            <w:pPr>
              <w:pStyle w:val="8"/>
              <w:jc w:val="both"/>
              <w:rPr>
                <w:rFonts w:ascii="Times New Roman"/>
                <w:color w:val="auto"/>
                <w:sz w:val="20"/>
              </w:rPr>
            </w:pPr>
          </w:p>
          <w:p w14:paraId="14A6A3DB">
            <w:pPr>
              <w:pStyle w:val="8"/>
              <w:jc w:val="both"/>
              <w:rPr>
                <w:rFonts w:ascii="Times New Roman"/>
                <w:color w:val="auto"/>
                <w:sz w:val="20"/>
              </w:rPr>
            </w:pPr>
          </w:p>
          <w:p w14:paraId="3FDD2BBA">
            <w:pPr>
              <w:pStyle w:val="8"/>
              <w:jc w:val="both"/>
              <w:rPr>
                <w:rFonts w:ascii="Times New Roman"/>
                <w:color w:val="auto"/>
                <w:sz w:val="20"/>
              </w:rPr>
            </w:pPr>
          </w:p>
          <w:p w14:paraId="5C812157">
            <w:pPr>
              <w:pStyle w:val="8"/>
              <w:spacing w:before="2"/>
              <w:jc w:val="both"/>
              <w:rPr>
                <w:rFonts w:ascii="Times New Roman"/>
                <w:color w:val="auto"/>
                <w:sz w:val="21"/>
              </w:rPr>
            </w:pPr>
          </w:p>
          <w:p w14:paraId="53AC1200">
            <w:pPr>
              <w:pStyle w:val="8"/>
              <w:spacing w:line="244" w:lineRule="auto"/>
              <w:ind w:left="122" w:right="110"/>
              <w:jc w:val="both"/>
              <w:rPr>
                <w:b/>
                <w:color w:val="auto"/>
                <w:sz w:val="21"/>
              </w:rPr>
            </w:pPr>
            <w:r>
              <w:rPr>
                <w:b/>
                <w:color w:val="auto"/>
                <w:sz w:val="21"/>
              </w:rPr>
              <w:t>裁量基准</w:t>
            </w:r>
          </w:p>
        </w:tc>
        <w:tc>
          <w:tcPr>
            <w:tcW w:w="516" w:type="dxa"/>
            <w:vAlign w:val="top"/>
          </w:tcPr>
          <w:p w14:paraId="5D8DB991">
            <w:pPr>
              <w:pStyle w:val="8"/>
              <w:jc w:val="both"/>
              <w:rPr>
                <w:rFonts w:ascii="Times New Roman"/>
                <w:color w:val="auto"/>
                <w:sz w:val="20"/>
              </w:rPr>
            </w:pPr>
          </w:p>
          <w:p w14:paraId="3381AC3B">
            <w:pPr>
              <w:pStyle w:val="8"/>
              <w:spacing w:before="162" w:line="242" w:lineRule="auto"/>
              <w:ind w:left="151" w:right="141"/>
              <w:jc w:val="both"/>
              <w:rPr>
                <w:b/>
                <w:color w:val="auto"/>
                <w:sz w:val="21"/>
              </w:rPr>
            </w:pPr>
            <w:r>
              <w:rPr>
                <w:b/>
                <w:color w:val="auto"/>
                <w:sz w:val="21"/>
              </w:rPr>
              <w:t>一般情形</w:t>
            </w:r>
          </w:p>
        </w:tc>
        <w:tc>
          <w:tcPr>
            <w:tcW w:w="2715" w:type="dxa"/>
            <w:vAlign w:val="top"/>
          </w:tcPr>
          <w:p w14:paraId="069EAA29">
            <w:pPr>
              <w:pStyle w:val="8"/>
              <w:jc w:val="both"/>
              <w:rPr>
                <w:rFonts w:ascii="Times New Roman"/>
                <w:color w:val="auto"/>
                <w:sz w:val="20"/>
              </w:rPr>
            </w:pPr>
          </w:p>
          <w:p w14:paraId="109AA283">
            <w:pPr>
              <w:pStyle w:val="8"/>
              <w:jc w:val="both"/>
              <w:rPr>
                <w:rFonts w:ascii="Times New Roman"/>
                <w:color w:val="auto"/>
                <w:sz w:val="20"/>
              </w:rPr>
            </w:pPr>
          </w:p>
          <w:p w14:paraId="65D3AFAE">
            <w:pPr>
              <w:pStyle w:val="8"/>
              <w:spacing w:before="10"/>
              <w:jc w:val="both"/>
              <w:rPr>
                <w:rFonts w:ascii="Times New Roman"/>
                <w:color w:val="auto"/>
                <w:sz w:val="17"/>
              </w:rPr>
            </w:pPr>
          </w:p>
          <w:p w14:paraId="57D65AF8">
            <w:pPr>
              <w:pStyle w:val="8"/>
              <w:spacing w:line="242" w:lineRule="auto"/>
              <w:ind w:left="108" w:right="96"/>
              <w:jc w:val="both"/>
              <w:rPr>
                <w:color w:val="auto"/>
                <w:sz w:val="21"/>
              </w:rPr>
            </w:pPr>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7"/>
                <w:sz w:val="21"/>
              </w:rPr>
              <w:t xml:space="preserve"> 万元以下</w:t>
            </w:r>
            <w:r>
              <w:rPr>
                <w:color w:val="auto"/>
                <w:sz w:val="21"/>
              </w:rPr>
              <w:t>罚款。</w:t>
            </w:r>
          </w:p>
        </w:tc>
        <w:tc>
          <w:tcPr>
            <w:tcW w:w="2714" w:type="dxa"/>
            <w:vAlign w:val="top"/>
          </w:tcPr>
          <w:p w14:paraId="28D0F9C1">
            <w:pPr>
              <w:pStyle w:val="8"/>
              <w:jc w:val="both"/>
              <w:rPr>
                <w:rFonts w:ascii="Times New Roman"/>
                <w:color w:val="auto"/>
                <w:sz w:val="20"/>
              </w:rPr>
            </w:pPr>
          </w:p>
          <w:p w14:paraId="60043858">
            <w:pPr>
              <w:pStyle w:val="8"/>
              <w:jc w:val="both"/>
              <w:rPr>
                <w:rFonts w:ascii="Times New Roman"/>
                <w:color w:val="auto"/>
                <w:sz w:val="20"/>
              </w:rPr>
            </w:pPr>
          </w:p>
          <w:p w14:paraId="752B3749">
            <w:pPr>
              <w:pStyle w:val="8"/>
              <w:spacing w:before="10"/>
              <w:jc w:val="both"/>
              <w:rPr>
                <w:rFonts w:ascii="Times New Roman"/>
                <w:color w:val="auto"/>
                <w:sz w:val="17"/>
              </w:rPr>
            </w:pPr>
          </w:p>
          <w:p w14:paraId="0DDE0245">
            <w:pPr>
              <w:pStyle w:val="8"/>
              <w:spacing w:line="242" w:lineRule="auto"/>
              <w:ind w:left="108" w:right="93"/>
              <w:jc w:val="both"/>
              <w:rPr>
                <w:color w:val="auto"/>
                <w:sz w:val="21"/>
              </w:rPr>
            </w:pPr>
            <w:r>
              <w:rPr>
                <w:color w:val="auto"/>
                <w:spacing w:val="-28"/>
                <w:sz w:val="21"/>
              </w:rPr>
              <w:t xml:space="preserve">处 </w:t>
            </w:r>
            <w:r>
              <w:rPr>
                <w:color w:val="auto"/>
                <w:sz w:val="21"/>
              </w:rPr>
              <w:t>5</w:t>
            </w:r>
            <w:r>
              <w:rPr>
                <w:color w:val="auto"/>
                <w:spacing w:val="-21"/>
                <w:sz w:val="21"/>
              </w:rPr>
              <w:t xml:space="preserve"> 万元以上 </w:t>
            </w:r>
            <w:r>
              <w:rPr>
                <w:color w:val="auto"/>
                <w:sz w:val="21"/>
              </w:rPr>
              <w:t>6.5</w:t>
            </w:r>
            <w:r>
              <w:rPr>
                <w:color w:val="auto"/>
                <w:spacing w:val="-16"/>
                <w:sz w:val="21"/>
              </w:rPr>
              <w:t xml:space="preserve"> 万元以下</w:t>
            </w:r>
            <w:r>
              <w:rPr>
                <w:color w:val="auto"/>
                <w:sz w:val="21"/>
              </w:rPr>
              <w:t>罚款。</w:t>
            </w:r>
          </w:p>
        </w:tc>
        <w:tc>
          <w:tcPr>
            <w:tcW w:w="2717" w:type="dxa"/>
            <w:vAlign w:val="top"/>
          </w:tcPr>
          <w:p w14:paraId="41E6AB84">
            <w:pPr>
              <w:pStyle w:val="8"/>
              <w:jc w:val="both"/>
              <w:rPr>
                <w:rFonts w:ascii="Times New Roman"/>
                <w:color w:val="auto"/>
                <w:sz w:val="20"/>
              </w:rPr>
            </w:pPr>
          </w:p>
          <w:p w14:paraId="5BD04806">
            <w:pPr>
              <w:pStyle w:val="8"/>
              <w:jc w:val="both"/>
              <w:rPr>
                <w:rFonts w:ascii="Times New Roman"/>
                <w:color w:val="auto"/>
                <w:sz w:val="20"/>
              </w:rPr>
            </w:pPr>
          </w:p>
          <w:p w14:paraId="3778BFA6">
            <w:pPr>
              <w:pStyle w:val="8"/>
              <w:spacing w:before="10"/>
              <w:jc w:val="both"/>
              <w:rPr>
                <w:rFonts w:ascii="Times New Roman"/>
                <w:color w:val="auto"/>
                <w:sz w:val="17"/>
              </w:rPr>
            </w:pPr>
          </w:p>
          <w:p w14:paraId="1984ED59">
            <w:pPr>
              <w:pStyle w:val="8"/>
              <w:spacing w:line="242" w:lineRule="auto"/>
              <w:ind w:left="108" w:right="95"/>
              <w:jc w:val="both"/>
              <w:rPr>
                <w:color w:val="auto"/>
                <w:sz w:val="21"/>
              </w:rPr>
            </w:pPr>
            <w:r>
              <w:rPr>
                <w:color w:val="auto"/>
                <w:spacing w:val="-28"/>
                <w:sz w:val="21"/>
              </w:rPr>
              <w:t xml:space="preserve">处 </w:t>
            </w:r>
            <w:r>
              <w:rPr>
                <w:color w:val="auto"/>
                <w:sz w:val="21"/>
              </w:rPr>
              <w:t>6.5</w:t>
            </w:r>
            <w:r>
              <w:rPr>
                <w:color w:val="auto"/>
                <w:spacing w:val="-20"/>
                <w:sz w:val="21"/>
              </w:rPr>
              <w:t xml:space="preserve"> 万元以上 </w:t>
            </w:r>
            <w:r>
              <w:rPr>
                <w:color w:val="auto"/>
                <w:sz w:val="21"/>
              </w:rPr>
              <w:t>8.5</w:t>
            </w:r>
            <w:r>
              <w:rPr>
                <w:color w:val="auto"/>
                <w:spacing w:val="-19"/>
                <w:sz w:val="21"/>
              </w:rPr>
              <w:t xml:space="preserve"> 万元以</w:t>
            </w:r>
            <w:r>
              <w:rPr>
                <w:color w:val="auto"/>
                <w:spacing w:val="-1"/>
                <w:sz w:val="21"/>
              </w:rPr>
              <w:t>下罚款。</w:t>
            </w:r>
          </w:p>
        </w:tc>
        <w:tc>
          <w:tcPr>
            <w:tcW w:w="3900" w:type="dxa"/>
            <w:vAlign w:val="top"/>
          </w:tcPr>
          <w:p w14:paraId="47E8B47B">
            <w:pPr>
              <w:pStyle w:val="8"/>
              <w:jc w:val="both"/>
              <w:rPr>
                <w:rFonts w:ascii="Times New Roman"/>
                <w:color w:val="auto"/>
                <w:sz w:val="20"/>
              </w:rPr>
            </w:pPr>
          </w:p>
          <w:p w14:paraId="49586B2E">
            <w:pPr>
              <w:pStyle w:val="8"/>
              <w:jc w:val="both"/>
              <w:rPr>
                <w:rFonts w:ascii="Times New Roman"/>
                <w:color w:val="auto"/>
                <w:sz w:val="20"/>
              </w:rPr>
            </w:pPr>
          </w:p>
          <w:p w14:paraId="1BCAA4E9">
            <w:pPr>
              <w:pStyle w:val="8"/>
              <w:spacing w:before="9"/>
              <w:jc w:val="both"/>
              <w:rPr>
                <w:rFonts w:ascii="Times New Roman"/>
                <w:color w:val="auto"/>
                <w:sz w:val="29"/>
              </w:rPr>
            </w:pPr>
          </w:p>
          <w:p w14:paraId="14A506FB">
            <w:pPr>
              <w:pStyle w:val="8"/>
              <w:ind w:left="106"/>
              <w:jc w:val="both"/>
              <w:rPr>
                <w:color w:val="auto"/>
                <w:sz w:val="21"/>
              </w:rPr>
            </w:pPr>
            <w:r>
              <w:rPr>
                <w:color w:val="auto"/>
                <w:sz w:val="21"/>
              </w:rPr>
              <w:t>处 8.5 万元以上 10 万元以下罚款。</w:t>
            </w:r>
          </w:p>
        </w:tc>
      </w:tr>
      <w:tr w14:paraId="1882A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562" w:type="dxa"/>
            <w:vMerge w:val="continue"/>
            <w:tcBorders>
              <w:top w:val="nil"/>
            </w:tcBorders>
            <w:vAlign w:val="top"/>
          </w:tcPr>
          <w:p w14:paraId="541975D1">
            <w:pPr>
              <w:jc w:val="both"/>
              <w:rPr>
                <w:color w:val="auto"/>
                <w:sz w:val="2"/>
                <w:szCs w:val="2"/>
              </w:rPr>
            </w:pPr>
          </w:p>
        </w:tc>
        <w:tc>
          <w:tcPr>
            <w:tcW w:w="667" w:type="dxa"/>
            <w:vMerge w:val="continue"/>
            <w:tcBorders>
              <w:top w:val="nil"/>
            </w:tcBorders>
            <w:vAlign w:val="top"/>
          </w:tcPr>
          <w:p w14:paraId="280BEAC2">
            <w:pPr>
              <w:jc w:val="both"/>
              <w:rPr>
                <w:color w:val="auto"/>
                <w:sz w:val="2"/>
                <w:szCs w:val="2"/>
              </w:rPr>
            </w:pPr>
          </w:p>
        </w:tc>
        <w:tc>
          <w:tcPr>
            <w:tcW w:w="516" w:type="dxa"/>
            <w:vAlign w:val="top"/>
          </w:tcPr>
          <w:p w14:paraId="5AF1576E">
            <w:pPr>
              <w:pStyle w:val="8"/>
              <w:spacing w:before="1" w:line="242" w:lineRule="auto"/>
              <w:ind w:left="151" w:right="141"/>
              <w:jc w:val="both"/>
              <w:rPr>
                <w:b/>
                <w:color w:val="auto"/>
                <w:sz w:val="21"/>
              </w:rPr>
            </w:pPr>
            <w:r>
              <w:rPr>
                <w:b/>
                <w:color w:val="auto"/>
                <w:sz w:val="21"/>
              </w:rPr>
              <w:t>造成严重后</w:t>
            </w:r>
          </w:p>
          <w:p w14:paraId="0463D24E">
            <w:pPr>
              <w:pStyle w:val="8"/>
              <w:spacing w:before="4" w:line="270" w:lineRule="atLeast"/>
              <w:ind w:left="151" w:right="141"/>
              <w:jc w:val="both"/>
              <w:rPr>
                <w:b/>
                <w:color w:val="auto"/>
                <w:sz w:val="21"/>
              </w:rPr>
            </w:pPr>
            <w:r>
              <w:rPr>
                <w:b/>
                <w:color w:val="auto"/>
                <w:sz w:val="21"/>
              </w:rPr>
              <w:t>果的</w:t>
            </w:r>
          </w:p>
        </w:tc>
        <w:tc>
          <w:tcPr>
            <w:tcW w:w="2715" w:type="dxa"/>
            <w:vAlign w:val="top"/>
          </w:tcPr>
          <w:p w14:paraId="7D52B10D">
            <w:pPr>
              <w:pStyle w:val="8"/>
              <w:jc w:val="both"/>
              <w:rPr>
                <w:rFonts w:ascii="Times New Roman"/>
                <w:color w:val="auto"/>
                <w:sz w:val="20"/>
              </w:rPr>
            </w:pPr>
          </w:p>
        </w:tc>
        <w:tc>
          <w:tcPr>
            <w:tcW w:w="2714" w:type="dxa"/>
            <w:vAlign w:val="top"/>
          </w:tcPr>
          <w:p w14:paraId="5805E360">
            <w:pPr>
              <w:pStyle w:val="8"/>
              <w:jc w:val="both"/>
              <w:rPr>
                <w:rFonts w:ascii="Times New Roman"/>
                <w:color w:val="auto"/>
                <w:sz w:val="20"/>
              </w:rPr>
            </w:pPr>
          </w:p>
          <w:p w14:paraId="35204722">
            <w:pPr>
              <w:pStyle w:val="8"/>
              <w:jc w:val="both"/>
              <w:rPr>
                <w:rFonts w:ascii="Times New Roman"/>
                <w:color w:val="auto"/>
                <w:sz w:val="20"/>
              </w:rPr>
            </w:pPr>
          </w:p>
          <w:p w14:paraId="7D3CD389">
            <w:pPr>
              <w:pStyle w:val="8"/>
              <w:spacing w:before="4"/>
              <w:jc w:val="both"/>
              <w:rPr>
                <w:rFonts w:ascii="Times New Roman"/>
                <w:color w:val="auto"/>
                <w:sz w:val="19"/>
              </w:rPr>
            </w:pPr>
          </w:p>
          <w:p w14:paraId="4751E960">
            <w:pPr>
              <w:pStyle w:val="8"/>
              <w:spacing w:line="242" w:lineRule="auto"/>
              <w:ind w:left="108" w:right="93"/>
              <w:jc w:val="both"/>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16</w:t>
            </w:r>
            <w:r>
              <w:rPr>
                <w:color w:val="auto"/>
                <w:spacing w:val="-16"/>
                <w:sz w:val="21"/>
              </w:rPr>
              <w:t xml:space="preserve"> 万元以下</w:t>
            </w:r>
            <w:r>
              <w:rPr>
                <w:color w:val="auto"/>
                <w:sz w:val="21"/>
              </w:rPr>
              <w:t>罚款。</w:t>
            </w:r>
          </w:p>
        </w:tc>
        <w:tc>
          <w:tcPr>
            <w:tcW w:w="2717" w:type="dxa"/>
            <w:vAlign w:val="top"/>
          </w:tcPr>
          <w:p w14:paraId="6C419779">
            <w:pPr>
              <w:pStyle w:val="8"/>
              <w:jc w:val="both"/>
              <w:rPr>
                <w:rFonts w:ascii="Times New Roman"/>
                <w:color w:val="auto"/>
                <w:sz w:val="20"/>
              </w:rPr>
            </w:pPr>
          </w:p>
          <w:p w14:paraId="375185CF">
            <w:pPr>
              <w:pStyle w:val="8"/>
              <w:jc w:val="both"/>
              <w:rPr>
                <w:rFonts w:ascii="Times New Roman"/>
                <w:color w:val="auto"/>
                <w:sz w:val="20"/>
              </w:rPr>
            </w:pPr>
          </w:p>
          <w:p w14:paraId="63018FCE">
            <w:pPr>
              <w:pStyle w:val="8"/>
              <w:spacing w:before="4"/>
              <w:jc w:val="both"/>
              <w:rPr>
                <w:rFonts w:ascii="Times New Roman"/>
                <w:color w:val="auto"/>
                <w:sz w:val="19"/>
              </w:rPr>
            </w:pPr>
          </w:p>
          <w:p w14:paraId="484D2905">
            <w:pPr>
              <w:pStyle w:val="8"/>
              <w:spacing w:line="242" w:lineRule="auto"/>
              <w:ind w:left="108" w:right="95"/>
              <w:jc w:val="both"/>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6"/>
                <w:sz w:val="21"/>
              </w:rPr>
              <w:t xml:space="preserve"> 万元以下</w:t>
            </w:r>
            <w:r>
              <w:rPr>
                <w:color w:val="auto"/>
                <w:sz w:val="21"/>
              </w:rPr>
              <w:t>罚款。</w:t>
            </w:r>
          </w:p>
        </w:tc>
        <w:tc>
          <w:tcPr>
            <w:tcW w:w="3900" w:type="dxa"/>
            <w:vAlign w:val="top"/>
          </w:tcPr>
          <w:p w14:paraId="76254A3D">
            <w:pPr>
              <w:pStyle w:val="8"/>
              <w:jc w:val="both"/>
              <w:rPr>
                <w:rFonts w:ascii="Times New Roman"/>
                <w:color w:val="auto"/>
                <w:sz w:val="20"/>
              </w:rPr>
            </w:pPr>
          </w:p>
          <w:p w14:paraId="529C3E35">
            <w:pPr>
              <w:pStyle w:val="8"/>
              <w:jc w:val="both"/>
              <w:rPr>
                <w:rFonts w:ascii="Times New Roman"/>
                <w:color w:val="auto"/>
                <w:sz w:val="20"/>
              </w:rPr>
            </w:pPr>
          </w:p>
          <w:p w14:paraId="01BEEEC4">
            <w:pPr>
              <w:pStyle w:val="8"/>
              <w:jc w:val="both"/>
              <w:rPr>
                <w:rFonts w:ascii="Times New Roman"/>
                <w:color w:val="auto"/>
                <w:sz w:val="20"/>
              </w:rPr>
            </w:pPr>
          </w:p>
          <w:p w14:paraId="4907628A">
            <w:pPr>
              <w:pStyle w:val="8"/>
              <w:spacing w:before="129"/>
              <w:ind w:left="106"/>
              <w:jc w:val="both"/>
              <w:rPr>
                <w:color w:val="auto"/>
                <w:sz w:val="21"/>
              </w:rPr>
            </w:pPr>
            <w:r>
              <w:rPr>
                <w:color w:val="auto"/>
                <w:sz w:val="21"/>
              </w:rPr>
              <w:t>处 24 万元以上 30 万元以下罚款。</w:t>
            </w:r>
          </w:p>
        </w:tc>
      </w:tr>
    </w:tbl>
    <w:p w14:paraId="6D31175D">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96"/>
        <w:gridCol w:w="487"/>
        <w:gridCol w:w="2715"/>
        <w:gridCol w:w="2714"/>
        <w:gridCol w:w="2717"/>
        <w:gridCol w:w="3900"/>
      </w:tblGrid>
      <w:tr w14:paraId="449E3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6" w:hRule="atLeast"/>
        </w:trPr>
        <w:tc>
          <w:tcPr>
            <w:tcW w:w="562" w:type="dxa"/>
            <w:vMerge w:val="restart"/>
            <w:vAlign w:val="top"/>
          </w:tcPr>
          <w:p w14:paraId="67F078C8">
            <w:pPr>
              <w:pStyle w:val="8"/>
              <w:jc w:val="both"/>
              <w:rPr>
                <w:rFonts w:ascii="Times New Roman"/>
                <w:color w:val="auto"/>
                <w:sz w:val="20"/>
              </w:rPr>
            </w:pPr>
          </w:p>
          <w:p w14:paraId="108E4C30">
            <w:pPr>
              <w:pStyle w:val="8"/>
              <w:jc w:val="both"/>
              <w:rPr>
                <w:rFonts w:ascii="Times New Roman"/>
                <w:color w:val="auto"/>
                <w:sz w:val="20"/>
              </w:rPr>
            </w:pPr>
          </w:p>
          <w:p w14:paraId="7AD4BC3B">
            <w:pPr>
              <w:pStyle w:val="8"/>
              <w:jc w:val="both"/>
              <w:rPr>
                <w:rFonts w:ascii="Times New Roman"/>
                <w:color w:val="auto"/>
                <w:sz w:val="20"/>
              </w:rPr>
            </w:pPr>
          </w:p>
          <w:p w14:paraId="0B42E618">
            <w:pPr>
              <w:pStyle w:val="8"/>
              <w:jc w:val="both"/>
              <w:rPr>
                <w:rFonts w:ascii="Times New Roman"/>
                <w:color w:val="auto"/>
                <w:sz w:val="20"/>
              </w:rPr>
            </w:pPr>
          </w:p>
          <w:p w14:paraId="75F68860">
            <w:pPr>
              <w:pStyle w:val="8"/>
              <w:jc w:val="both"/>
              <w:rPr>
                <w:rFonts w:ascii="Times New Roman"/>
                <w:color w:val="auto"/>
                <w:sz w:val="20"/>
              </w:rPr>
            </w:pPr>
          </w:p>
          <w:p w14:paraId="5A69B626">
            <w:pPr>
              <w:pStyle w:val="8"/>
              <w:jc w:val="both"/>
              <w:rPr>
                <w:rFonts w:ascii="Times New Roman"/>
                <w:color w:val="auto"/>
                <w:sz w:val="20"/>
              </w:rPr>
            </w:pPr>
          </w:p>
          <w:p w14:paraId="5188534D">
            <w:pPr>
              <w:pStyle w:val="8"/>
              <w:jc w:val="both"/>
              <w:rPr>
                <w:rFonts w:ascii="Times New Roman"/>
                <w:color w:val="auto"/>
                <w:sz w:val="20"/>
              </w:rPr>
            </w:pPr>
          </w:p>
          <w:p w14:paraId="5CC177EE">
            <w:pPr>
              <w:pStyle w:val="8"/>
              <w:jc w:val="both"/>
              <w:rPr>
                <w:rFonts w:ascii="Times New Roman"/>
                <w:color w:val="auto"/>
                <w:sz w:val="20"/>
              </w:rPr>
            </w:pPr>
          </w:p>
          <w:p w14:paraId="544A81A5">
            <w:pPr>
              <w:pStyle w:val="8"/>
              <w:jc w:val="both"/>
              <w:rPr>
                <w:rFonts w:ascii="Times New Roman"/>
                <w:color w:val="auto"/>
                <w:sz w:val="20"/>
              </w:rPr>
            </w:pPr>
          </w:p>
          <w:p w14:paraId="7C1F3877">
            <w:pPr>
              <w:pStyle w:val="8"/>
              <w:jc w:val="both"/>
              <w:rPr>
                <w:rFonts w:ascii="Times New Roman"/>
                <w:color w:val="auto"/>
                <w:sz w:val="20"/>
              </w:rPr>
            </w:pPr>
          </w:p>
          <w:p w14:paraId="1E3EFDE4">
            <w:pPr>
              <w:pStyle w:val="8"/>
              <w:jc w:val="both"/>
              <w:rPr>
                <w:rFonts w:ascii="Times New Roman"/>
                <w:color w:val="auto"/>
                <w:sz w:val="20"/>
              </w:rPr>
            </w:pPr>
          </w:p>
          <w:p w14:paraId="128ED974">
            <w:pPr>
              <w:pStyle w:val="8"/>
              <w:jc w:val="both"/>
              <w:rPr>
                <w:rFonts w:ascii="Times New Roman"/>
                <w:color w:val="auto"/>
                <w:sz w:val="20"/>
              </w:rPr>
            </w:pPr>
          </w:p>
          <w:p w14:paraId="3A110C6B">
            <w:pPr>
              <w:pStyle w:val="8"/>
              <w:jc w:val="both"/>
              <w:rPr>
                <w:rFonts w:ascii="Times New Roman"/>
                <w:color w:val="auto"/>
                <w:sz w:val="20"/>
              </w:rPr>
            </w:pPr>
          </w:p>
          <w:p w14:paraId="564C249B">
            <w:pPr>
              <w:pStyle w:val="8"/>
              <w:jc w:val="both"/>
              <w:rPr>
                <w:rFonts w:ascii="Times New Roman"/>
                <w:color w:val="auto"/>
                <w:sz w:val="20"/>
              </w:rPr>
            </w:pPr>
          </w:p>
          <w:p w14:paraId="0EF1E1CC">
            <w:pPr>
              <w:pStyle w:val="8"/>
              <w:jc w:val="both"/>
              <w:rPr>
                <w:rFonts w:ascii="Times New Roman"/>
                <w:color w:val="auto"/>
                <w:sz w:val="20"/>
              </w:rPr>
            </w:pPr>
          </w:p>
          <w:p w14:paraId="70C0E627">
            <w:pPr>
              <w:pStyle w:val="8"/>
              <w:spacing w:before="6"/>
              <w:jc w:val="both"/>
              <w:rPr>
                <w:rFonts w:ascii="Times New Roman"/>
                <w:color w:val="auto"/>
                <w:sz w:val="17"/>
              </w:rPr>
            </w:pPr>
          </w:p>
          <w:p w14:paraId="5DF35E0C">
            <w:pPr>
              <w:pStyle w:val="8"/>
              <w:spacing w:before="1"/>
              <w:ind w:left="175"/>
              <w:jc w:val="both"/>
              <w:rPr>
                <w:b/>
                <w:color w:val="auto"/>
                <w:sz w:val="21"/>
              </w:rPr>
            </w:pPr>
            <w:r>
              <w:rPr>
                <w:b/>
                <w:color w:val="auto"/>
                <w:sz w:val="21"/>
              </w:rPr>
              <w:t>11</w:t>
            </w:r>
          </w:p>
        </w:tc>
        <w:tc>
          <w:tcPr>
            <w:tcW w:w="1183" w:type="dxa"/>
            <w:gridSpan w:val="2"/>
            <w:vAlign w:val="top"/>
          </w:tcPr>
          <w:p w14:paraId="4C13271B">
            <w:pPr>
              <w:pStyle w:val="8"/>
              <w:spacing w:before="3"/>
              <w:jc w:val="both"/>
              <w:rPr>
                <w:rFonts w:ascii="Times New Roman"/>
                <w:color w:val="auto"/>
                <w:sz w:val="20"/>
              </w:rPr>
            </w:pPr>
          </w:p>
          <w:p w14:paraId="6C097967">
            <w:pPr>
              <w:pStyle w:val="8"/>
              <w:spacing w:before="1"/>
              <w:ind w:left="170"/>
              <w:jc w:val="both"/>
              <w:rPr>
                <w:b/>
                <w:color w:val="auto"/>
                <w:sz w:val="21"/>
              </w:rPr>
            </w:pPr>
            <w:r>
              <w:rPr>
                <w:b/>
                <w:color w:val="auto"/>
                <w:sz w:val="21"/>
              </w:rPr>
              <w:t>违法行为</w:t>
            </w:r>
          </w:p>
        </w:tc>
        <w:tc>
          <w:tcPr>
            <w:tcW w:w="12046" w:type="dxa"/>
            <w:gridSpan w:val="4"/>
            <w:vAlign w:val="top"/>
          </w:tcPr>
          <w:p w14:paraId="63D76D87">
            <w:pPr>
              <w:pStyle w:val="8"/>
              <w:spacing w:before="3"/>
              <w:jc w:val="both"/>
              <w:rPr>
                <w:rFonts w:ascii="Times New Roman"/>
                <w:color w:val="auto"/>
                <w:sz w:val="20"/>
              </w:rPr>
            </w:pPr>
          </w:p>
          <w:p w14:paraId="7560DCF5">
            <w:pPr>
              <w:pStyle w:val="8"/>
              <w:spacing w:before="1"/>
              <w:ind w:left="528"/>
              <w:jc w:val="both"/>
              <w:rPr>
                <w:color w:val="auto"/>
                <w:sz w:val="21"/>
              </w:rPr>
            </w:pPr>
            <w:r>
              <w:rPr>
                <w:color w:val="auto"/>
                <w:sz w:val="21"/>
              </w:rPr>
              <w:t>临床试验申办者开展临床试验未经备案的</w:t>
            </w:r>
          </w:p>
        </w:tc>
      </w:tr>
      <w:tr w14:paraId="1C1B8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562" w:type="dxa"/>
            <w:vMerge w:val="continue"/>
            <w:tcBorders>
              <w:top w:val="nil"/>
            </w:tcBorders>
            <w:vAlign w:val="top"/>
          </w:tcPr>
          <w:p w14:paraId="701341F5">
            <w:pPr>
              <w:jc w:val="both"/>
              <w:rPr>
                <w:color w:val="auto"/>
                <w:sz w:val="2"/>
                <w:szCs w:val="2"/>
              </w:rPr>
            </w:pPr>
          </w:p>
        </w:tc>
        <w:tc>
          <w:tcPr>
            <w:tcW w:w="1183" w:type="dxa"/>
            <w:gridSpan w:val="2"/>
            <w:vAlign w:val="top"/>
          </w:tcPr>
          <w:p w14:paraId="165D121F">
            <w:pPr>
              <w:pStyle w:val="8"/>
              <w:jc w:val="both"/>
              <w:rPr>
                <w:rFonts w:ascii="Times New Roman"/>
                <w:color w:val="auto"/>
                <w:sz w:val="20"/>
              </w:rPr>
            </w:pPr>
          </w:p>
          <w:p w14:paraId="2D7787B5">
            <w:pPr>
              <w:pStyle w:val="8"/>
              <w:jc w:val="both"/>
              <w:rPr>
                <w:rFonts w:ascii="Times New Roman"/>
                <w:color w:val="auto"/>
                <w:sz w:val="20"/>
              </w:rPr>
            </w:pPr>
          </w:p>
          <w:p w14:paraId="3E777813">
            <w:pPr>
              <w:pStyle w:val="8"/>
              <w:spacing w:before="3"/>
              <w:jc w:val="both"/>
              <w:rPr>
                <w:rFonts w:ascii="Times New Roman"/>
                <w:color w:val="auto"/>
                <w:sz w:val="22"/>
              </w:rPr>
            </w:pPr>
          </w:p>
          <w:p w14:paraId="03A94A01">
            <w:pPr>
              <w:pStyle w:val="8"/>
              <w:ind w:left="170"/>
              <w:jc w:val="both"/>
              <w:rPr>
                <w:b/>
                <w:color w:val="auto"/>
                <w:sz w:val="21"/>
              </w:rPr>
            </w:pPr>
            <w:r>
              <w:rPr>
                <w:b/>
                <w:color w:val="auto"/>
                <w:sz w:val="21"/>
              </w:rPr>
              <w:t>处罚依据</w:t>
            </w:r>
          </w:p>
        </w:tc>
        <w:tc>
          <w:tcPr>
            <w:tcW w:w="12046" w:type="dxa"/>
            <w:gridSpan w:val="4"/>
            <w:vAlign w:val="top"/>
          </w:tcPr>
          <w:p w14:paraId="27A0E94D">
            <w:pPr>
              <w:pStyle w:val="8"/>
              <w:jc w:val="both"/>
              <w:rPr>
                <w:rFonts w:ascii="Times New Roman"/>
                <w:color w:val="auto"/>
                <w:sz w:val="20"/>
              </w:rPr>
            </w:pPr>
          </w:p>
          <w:p w14:paraId="2EC25552">
            <w:pPr>
              <w:pStyle w:val="8"/>
              <w:spacing w:before="8"/>
              <w:jc w:val="both"/>
              <w:rPr>
                <w:rFonts w:ascii="Times New Roman"/>
                <w:color w:val="auto"/>
                <w:sz w:val="18"/>
              </w:rPr>
            </w:pPr>
          </w:p>
          <w:p w14:paraId="0F465F32">
            <w:pPr>
              <w:pStyle w:val="8"/>
              <w:spacing w:line="242" w:lineRule="auto"/>
              <w:ind w:left="108" w:right="94" w:firstLine="420"/>
              <w:jc w:val="both"/>
              <w:rPr>
                <w:color w:val="auto"/>
                <w:sz w:val="21"/>
              </w:rPr>
            </w:pPr>
            <w:r>
              <w:rPr>
                <w:color w:val="auto"/>
                <w:spacing w:val="-1"/>
                <w:sz w:val="21"/>
              </w:rPr>
              <w:t>根据《医疗器械监督管理条例》第九十三条第二款规定，由负责药品监督管理的部门责令停止临床试验，对临床试验申办者</w:t>
            </w:r>
            <w:r>
              <w:rPr>
                <w:color w:val="auto"/>
                <w:spacing w:val="-24"/>
                <w:sz w:val="21"/>
              </w:rPr>
              <w:t xml:space="preserve">处 </w:t>
            </w:r>
            <w:r>
              <w:rPr>
                <w:color w:val="auto"/>
                <w:sz w:val="21"/>
              </w:rPr>
              <w:t>5</w:t>
            </w:r>
            <w:r>
              <w:rPr>
                <w:color w:val="auto"/>
                <w:spacing w:val="-18"/>
                <w:sz w:val="21"/>
              </w:rPr>
              <w:t xml:space="preserve"> 万元以上 </w:t>
            </w:r>
            <w:r>
              <w:rPr>
                <w:color w:val="auto"/>
                <w:sz w:val="21"/>
              </w:rPr>
              <w:t>10</w:t>
            </w:r>
            <w:r>
              <w:rPr>
                <w:color w:val="auto"/>
                <w:spacing w:val="-13"/>
                <w:sz w:val="21"/>
              </w:rPr>
              <w:t xml:space="preserve"> 万元以下罚款，并向社会公告；造成严重后果的，处 </w:t>
            </w:r>
            <w:r>
              <w:rPr>
                <w:color w:val="auto"/>
                <w:sz w:val="21"/>
              </w:rPr>
              <w:t>10</w:t>
            </w:r>
            <w:r>
              <w:rPr>
                <w:color w:val="auto"/>
                <w:spacing w:val="-18"/>
                <w:sz w:val="21"/>
              </w:rPr>
              <w:t xml:space="preserve"> 万元以上 </w:t>
            </w:r>
            <w:r>
              <w:rPr>
                <w:color w:val="auto"/>
                <w:sz w:val="21"/>
              </w:rPr>
              <w:t>30</w:t>
            </w:r>
            <w:r>
              <w:rPr>
                <w:color w:val="auto"/>
                <w:spacing w:val="-10"/>
                <w:sz w:val="21"/>
              </w:rPr>
              <w:t xml:space="preserve"> 万元以下罚款。该临床试验数据不得用于产</w:t>
            </w:r>
            <w:r>
              <w:rPr>
                <w:color w:val="auto"/>
                <w:spacing w:val="-5"/>
                <w:sz w:val="21"/>
              </w:rPr>
              <w:t>品注册、备案，</w:t>
            </w:r>
            <w:r>
              <w:rPr>
                <w:color w:val="auto"/>
                <w:sz w:val="21"/>
              </w:rPr>
              <w:t>5</w:t>
            </w:r>
            <w:r>
              <w:rPr>
                <w:color w:val="auto"/>
                <w:spacing w:val="-8"/>
                <w:sz w:val="21"/>
              </w:rPr>
              <w:t xml:space="preserve"> 年内不受理相关责任人以及单位提出的医疗器械注册申请。</w:t>
            </w:r>
          </w:p>
        </w:tc>
      </w:tr>
      <w:tr w14:paraId="3854D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continue"/>
            <w:tcBorders>
              <w:top w:val="nil"/>
            </w:tcBorders>
            <w:vAlign w:val="top"/>
          </w:tcPr>
          <w:p w14:paraId="086305E2">
            <w:pPr>
              <w:jc w:val="both"/>
              <w:rPr>
                <w:color w:val="auto"/>
                <w:sz w:val="2"/>
                <w:szCs w:val="2"/>
              </w:rPr>
            </w:pPr>
          </w:p>
        </w:tc>
        <w:tc>
          <w:tcPr>
            <w:tcW w:w="1183" w:type="dxa"/>
            <w:gridSpan w:val="2"/>
            <w:vAlign w:val="top"/>
          </w:tcPr>
          <w:p w14:paraId="203E7495">
            <w:pPr>
              <w:pStyle w:val="8"/>
              <w:spacing w:before="150"/>
              <w:ind w:left="170"/>
              <w:jc w:val="both"/>
              <w:rPr>
                <w:b/>
                <w:color w:val="auto"/>
                <w:sz w:val="21"/>
              </w:rPr>
            </w:pPr>
            <w:r>
              <w:rPr>
                <w:b/>
                <w:color w:val="auto"/>
                <w:sz w:val="21"/>
              </w:rPr>
              <w:t>裁量等级</w:t>
            </w:r>
          </w:p>
        </w:tc>
        <w:tc>
          <w:tcPr>
            <w:tcW w:w="2715" w:type="dxa"/>
            <w:vAlign w:val="top"/>
          </w:tcPr>
          <w:p w14:paraId="2A1C8F7A">
            <w:pPr>
              <w:pStyle w:val="8"/>
              <w:spacing w:before="150"/>
              <w:ind w:left="108"/>
              <w:jc w:val="both"/>
              <w:rPr>
                <w:b/>
                <w:color w:val="auto"/>
                <w:sz w:val="21"/>
              </w:rPr>
            </w:pPr>
            <w:r>
              <w:rPr>
                <w:b/>
                <w:color w:val="auto"/>
                <w:sz w:val="21"/>
              </w:rPr>
              <w:t>减轻</w:t>
            </w:r>
          </w:p>
        </w:tc>
        <w:tc>
          <w:tcPr>
            <w:tcW w:w="2714" w:type="dxa"/>
            <w:vAlign w:val="top"/>
          </w:tcPr>
          <w:p w14:paraId="7D10AFB8">
            <w:pPr>
              <w:pStyle w:val="8"/>
              <w:spacing w:before="150"/>
              <w:ind w:left="108"/>
              <w:jc w:val="both"/>
              <w:rPr>
                <w:b/>
                <w:color w:val="auto"/>
                <w:sz w:val="21"/>
              </w:rPr>
            </w:pPr>
            <w:r>
              <w:rPr>
                <w:b/>
                <w:color w:val="auto"/>
                <w:sz w:val="21"/>
              </w:rPr>
              <w:t>从轻</w:t>
            </w:r>
          </w:p>
        </w:tc>
        <w:tc>
          <w:tcPr>
            <w:tcW w:w="2717" w:type="dxa"/>
            <w:vAlign w:val="top"/>
          </w:tcPr>
          <w:p w14:paraId="3AAB9E62">
            <w:pPr>
              <w:pStyle w:val="8"/>
              <w:spacing w:before="150"/>
              <w:ind w:left="108"/>
              <w:jc w:val="both"/>
              <w:rPr>
                <w:b/>
                <w:color w:val="auto"/>
                <w:sz w:val="21"/>
              </w:rPr>
            </w:pPr>
            <w:r>
              <w:rPr>
                <w:b/>
                <w:color w:val="auto"/>
                <w:sz w:val="21"/>
              </w:rPr>
              <w:t>一般</w:t>
            </w:r>
          </w:p>
        </w:tc>
        <w:tc>
          <w:tcPr>
            <w:tcW w:w="3900" w:type="dxa"/>
            <w:vAlign w:val="top"/>
          </w:tcPr>
          <w:p w14:paraId="10904614">
            <w:pPr>
              <w:pStyle w:val="8"/>
              <w:spacing w:before="150"/>
              <w:ind w:left="106"/>
              <w:jc w:val="both"/>
              <w:rPr>
                <w:b/>
                <w:color w:val="auto"/>
                <w:sz w:val="21"/>
              </w:rPr>
            </w:pPr>
            <w:r>
              <w:rPr>
                <w:b/>
                <w:color w:val="auto"/>
                <w:sz w:val="21"/>
              </w:rPr>
              <w:t>从重</w:t>
            </w:r>
          </w:p>
        </w:tc>
      </w:tr>
      <w:tr w14:paraId="654DC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1E0A0DC5">
            <w:pPr>
              <w:jc w:val="both"/>
              <w:rPr>
                <w:color w:val="auto"/>
                <w:sz w:val="2"/>
                <w:szCs w:val="2"/>
              </w:rPr>
            </w:pPr>
          </w:p>
        </w:tc>
        <w:tc>
          <w:tcPr>
            <w:tcW w:w="1183" w:type="dxa"/>
            <w:gridSpan w:val="2"/>
            <w:vAlign w:val="top"/>
          </w:tcPr>
          <w:p w14:paraId="37CEF41D">
            <w:pPr>
              <w:pStyle w:val="8"/>
              <w:spacing w:before="3"/>
              <w:jc w:val="both"/>
              <w:rPr>
                <w:rFonts w:ascii="Times New Roman"/>
                <w:color w:val="auto"/>
                <w:sz w:val="20"/>
              </w:rPr>
            </w:pPr>
          </w:p>
          <w:p w14:paraId="4D6011BA">
            <w:pPr>
              <w:pStyle w:val="8"/>
              <w:spacing w:before="1"/>
              <w:ind w:left="170"/>
              <w:jc w:val="both"/>
              <w:rPr>
                <w:b/>
                <w:color w:val="auto"/>
                <w:sz w:val="21"/>
              </w:rPr>
            </w:pPr>
            <w:r>
              <w:rPr>
                <w:b/>
                <w:color w:val="auto"/>
                <w:sz w:val="21"/>
              </w:rPr>
              <w:t>裁量情节</w:t>
            </w:r>
          </w:p>
        </w:tc>
        <w:tc>
          <w:tcPr>
            <w:tcW w:w="2715" w:type="dxa"/>
            <w:vAlign w:val="top"/>
          </w:tcPr>
          <w:p w14:paraId="3C5E4629">
            <w:pPr>
              <w:pStyle w:val="8"/>
              <w:spacing w:before="97" w:line="242" w:lineRule="auto"/>
              <w:ind w:left="108" w:right="97"/>
              <w:jc w:val="both"/>
              <w:rPr>
                <w:color w:val="auto"/>
                <w:sz w:val="21"/>
              </w:rPr>
            </w:pPr>
            <w:r>
              <w:rPr>
                <w:color w:val="auto"/>
                <w:sz w:val="21"/>
              </w:rPr>
              <w:t>符合裁量规定减轻行政处罚情形的。</w:t>
            </w:r>
          </w:p>
        </w:tc>
        <w:tc>
          <w:tcPr>
            <w:tcW w:w="2714" w:type="dxa"/>
            <w:vAlign w:val="top"/>
          </w:tcPr>
          <w:p w14:paraId="68973A50">
            <w:pPr>
              <w:pStyle w:val="8"/>
              <w:spacing w:before="97" w:line="242" w:lineRule="auto"/>
              <w:ind w:left="108" w:right="94"/>
              <w:jc w:val="both"/>
              <w:rPr>
                <w:color w:val="auto"/>
                <w:sz w:val="21"/>
              </w:rPr>
            </w:pPr>
            <w:r>
              <w:rPr>
                <w:color w:val="auto"/>
                <w:sz w:val="21"/>
              </w:rPr>
              <w:t>符合裁量规定从轻行政处罚情形的。</w:t>
            </w:r>
          </w:p>
        </w:tc>
        <w:tc>
          <w:tcPr>
            <w:tcW w:w="2717" w:type="dxa"/>
            <w:vAlign w:val="top"/>
          </w:tcPr>
          <w:p w14:paraId="28541427">
            <w:pPr>
              <w:pStyle w:val="8"/>
              <w:spacing w:before="97" w:line="242" w:lineRule="auto"/>
              <w:ind w:left="108" w:right="97"/>
              <w:jc w:val="both"/>
              <w:rPr>
                <w:color w:val="auto"/>
                <w:sz w:val="21"/>
              </w:rPr>
            </w:pPr>
            <w:r>
              <w:rPr>
                <w:color w:val="auto"/>
                <w:sz w:val="21"/>
              </w:rPr>
              <w:t>符合裁量规定一般行政处罚情形的。</w:t>
            </w:r>
          </w:p>
        </w:tc>
        <w:tc>
          <w:tcPr>
            <w:tcW w:w="3900" w:type="dxa"/>
            <w:vAlign w:val="top"/>
          </w:tcPr>
          <w:p w14:paraId="27C1B03A">
            <w:pPr>
              <w:pStyle w:val="8"/>
              <w:spacing w:before="3"/>
              <w:jc w:val="both"/>
              <w:rPr>
                <w:rFonts w:ascii="Times New Roman"/>
                <w:color w:val="auto"/>
                <w:sz w:val="20"/>
              </w:rPr>
            </w:pPr>
          </w:p>
          <w:p w14:paraId="3C86AAD8">
            <w:pPr>
              <w:pStyle w:val="8"/>
              <w:spacing w:before="1"/>
              <w:ind w:left="106"/>
              <w:jc w:val="both"/>
              <w:rPr>
                <w:color w:val="auto"/>
                <w:sz w:val="21"/>
              </w:rPr>
            </w:pPr>
            <w:r>
              <w:rPr>
                <w:color w:val="auto"/>
                <w:sz w:val="21"/>
              </w:rPr>
              <w:t>符合裁量规定从重行政处罚情形的。</w:t>
            </w:r>
          </w:p>
        </w:tc>
      </w:tr>
      <w:tr w14:paraId="0A135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1D903CBC">
            <w:pPr>
              <w:jc w:val="both"/>
              <w:rPr>
                <w:color w:val="auto"/>
                <w:sz w:val="2"/>
                <w:szCs w:val="2"/>
              </w:rPr>
            </w:pPr>
          </w:p>
        </w:tc>
        <w:tc>
          <w:tcPr>
            <w:tcW w:w="696" w:type="dxa"/>
            <w:vMerge w:val="restart"/>
            <w:vAlign w:val="top"/>
          </w:tcPr>
          <w:p w14:paraId="0AA8537B">
            <w:pPr>
              <w:pStyle w:val="8"/>
              <w:jc w:val="both"/>
              <w:rPr>
                <w:rFonts w:ascii="Times New Roman"/>
                <w:color w:val="auto"/>
                <w:sz w:val="20"/>
              </w:rPr>
            </w:pPr>
          </w:p>
          <w:p w14:paraId="757B4947">
            <w:pPr>
              <w:pStyle w:val="8"/>
              <w:jc w:val="both"/>
              <w:rPr>
                <w:rFonts w:ascii="Times New Roman"/>
                <w:color w:val="auto"/>
                <w:sz w:val="20"/>
              </w:rPr>
            </w:pPr>
          </w:p>
          <w:p w14:paraId="296E59E5">
            <w:pPr>
              <w:pStyle w:val="8"/>
              <w:jc w:val="both"/>
              <w:rPr>
                <w:rFonts w:ascii="Times New Roman"/>
                <w:color w:val="auto"/>
                <w:sz w:val="20"/>
              </w:rPr>
            </w:pPr>
          </w:p>
          <w:p w14:paraId="71F318C0">
            <w:pPr>
              <w:pStyle w:val="8"/>
              <w:jc w:val="both"/>
              <w:rPr>
                <w:rFonts w:ascii="Times New Roman"/>
                <w:color w:val="auto"/>
                <w:sz w:val="20"/>
              </w:rPr>
            </w:pPr>
          </w:p>
          <w:p w14:paraId="409EB71B">
            <w:pPr>
              <w:pStyle w:val="8"/>
              <w:jc w:val="both"/>
              <w:rPr>
                <w:rFonts w:ascii="Times New Roman"/>
                <w:color w:val="auto"/>
                <w:sz w:val="20"/>
              </w:rPr>
            </w:pPr>
          </w:p>
          <w:p w14:paraId="2189B700">
            <w:pPr>
              <w:pStyle w:val="8"/>
              <w:jc w:val="both"/>
              <w:rPr>
                <w:rFonts w:ascii="Times New Roman"/>
                <w:color w:val="auto"/>
                <w:sz w:val="20"/>
              </w:rPr>
            </w:pPr>
          </w:p>
          <w:p w14:paraId="4C8FA1C5">
            <w:pPr>
              <w:pStyle w:val="8"/>
              <w:spacing w:before="2"/>
              <w:jc w:val="both"/>
              <w:rPr>
                <w:rFonts w:ascii="Times New Roman"/>
                <w:color w:val="auto"/>
                <w:sz w:val="21"/>
              </w:rPr>
            </w:pPr>
          </w:p>
          <w:p w14:paraId="3D1BD1F7">
            <w:pPr>
              <w:pStyle w:val="8"/>
              <w:spacing w:line="242" w:lineRule="auto"/>
              <w:ind w:left="136" w:right="126"/>
              <w:jc w:val="both"/>
              <w:rPr>
                <w:b/>
                <w:color w:val="auto"/>
                <w:sz w:val="21"/>
              </w:rPr>
            </w:pPr>
            <w:r>
              <w:rPr>
                <w:b/>
                <w:color w:val="auto"/>
                <w:sz w:val="21"/>
              </w:rPr>
              <w:t>裁量基准</w:t>
            </w:r>
          </w:p>
        </w:tc>
        <w:tc>
          <w:tcPr>
            <w:tcW w:w="487" w:type="dxa"/>
            <w:vAlign w:val="top"/>
          </w:tcPr>
          <w:p w14:paraId="2AE9A3A4">
            <w:pPr>
              <w:pStyle w:val="8"/>
              <w:jc w:val="both"/>
              <w:rPr>
                <w:rFonts w:ascii="Times New Roman"/>
                <w:color w:val="auto"/>
                <w:sz w:val="20"/>
              </w:rPr>
            </w:pPr>
          </w:p>
          <w:p w14:paraId="117E6510">
            <w:pPr>
              <w:pStyle w:val="8"/>
              <w:spacing w:before="162" w:line="242" w:lineRule="auto"/>
              <w:ind w:left="136" w:right="127"/>
              <w:jc w:val="both"/>
              <w:rPr>
                <w:b/>
                <w:color w:val="auto"/>
                <w:sz w:val="21"/>
              </w:rPr>
            </w:pPr>
            <w:r>
              <w:rPr>
                <w:b/>
                <w:color w:val="auto"/>
                <w:sz w:val="21"/>
              </w:rPr>
              <w:t>一般情形</w:t>
            </w:r>
          </w:p>
        </w:tc>
        <w:tc>
          <w:tcPr>
            <w:tcW w:w="2715" w:type="dxa"/>
            <w:vAlign w:val="top"/>
          </w:tcPr>
          <w:p w14:paraId="60F2A181">
            <w:pPr>
              <w:pStyle w:val="8"/>
              <w:jc w:val="both"/>
              <w:rPr>
                <w:rFonts w:ascii="Times New Roman"/>
                <w:color w:val="auto"/>
                <w:sz w:val="20"/>
              </w:rPr>
            </w:pPr>
          </w:p>
          <w:p w14:paraId="64285BCC">
            <w:pPr>
              <w:pStyle w:val="8"/>
              <w:jc w:val="both"/>
              <w:rPr>
                <w:rFonts w:ascii="Times New Roman"/>
                <w:color w:val="auto"/>
                <w:sz w:val="20"/>
              </w:rPr>
            </w:pPr>
          </w:p>
          <w:p w14:paraId="398745AA">
            <w:pPr>
              <w:pStyle w:val="8"/>
              <w:spacing w:before="8"/>
              <w:jc w:val="both"/>
              <w:rPr>
                <w:rFonts w:ascii="Times New Roman"/>
                <w:color w:val="auto"/>
                <w:sz w:val="17"/>
              </w:rPr>
            </w:pPr>
          </w:p>
          <w:p w14:paraId="2F8404E1">
            <w:pPr>
              <w:pStyle w:val="8"/>
              <w:spacing w:line="244" w:lineRule="auto"/>
              <w:ind w:left="108" w:right="96"/>
              <w:jc w:val="both"/>
              <w:rPr>
                <w:color w:val="auto"/>
                <w:sz w:val="21"/>
              </w:rPr>
            </w:pPr>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7"/>
                <w:sz w:val="21"/>
              </w:rPr>
              <w:t xml:space="preserve"> 万元以下</w:t>
            </w:r>
            <w:r>
              <w:rPr>
                <w:color w:val="auto"/>
                <w:sz w:val="21"/>
              </w:rPr>
              <w:t>罚款。</w:t>
            </w:r>
          </w:p>
        </w:tc>
        <w:tc>
          <w:tcPr>
            <w:tcW w:w="2714" w:type="dxa"/>
            <w:vAlign w:val="top"/>
          </w:tcPr>
          <w:p w14:paraId="4D5F9E43">
            <w:pPr>
              <w:pStyle w:val="8"/>
              <w:jc w:val="both"/>
              <w:rPr>
                <w:rFonts w:ascii="Times New Roman"/>
                <w:color w:val="auto"/>
                <w:sz w:val="20"/>
              </w:rPr>
            </w:pPr>
          </w:p>
          <w:p w14:paraId="4835CE3C">
            <w:pPr>
              <w:pStyle w:val="8"/>
              <w:jc w:val="both"/>
              <w:rPr>
                <w:rFonts w:ascii="Times New Roman"/>
                <w:color w:val="auto"/>
                <w:sz w:val="20"/>
              </w:rPr>
            </w:pPr>
          </w:p>
          <w:p w14:paraId="72057FB5">
            <w:pPr>
              <w:pStyle w:val="8"/>
              <w:spacing w:before="8"/>
              <w:jc w:val="both"/>
              <w:rPr>
                <w:rFonts w:ascii="Times New Roman"/>
                <w:color w:val="auto"/>
                <w:sz w:val="17"/>
              </w:rPr>
            </w:pPr>
          </w:p>
          <w:p w14:paraId="2DCF6616">
            <w:pPr>
              <w:pStyle w:val="8"/>
              <w:spacing w:line="244" w:lineRule="auto"/>
              <w:ind w:left="108" w:right="93"/>
              <w:jc w:val="both"/>
              <w:rPr>
                <w:color w:val="auto"/>
                <w:sz w:val="21"/>
              </w:rPr>
            </w:pPr>
            <w:r>
              <w:rPr>
                <w:color w:val="auto"/>
                <w:spacing w:val="-28"/>
                <w:sz w:val="21"/>
              </w:rPr>
              <w:t xml:space="preserve">处 </w:t>
            </w:r>
            <w:r>
              <w:rPr>
                <w:color w:val="auto"/>
                <w:sz w:val="21"/>
              </w:rPr>
              <w:t>5</w:t>
            </w:r>
            <w:r>
              <w:rPr>
                <w:color w:val="auto"/>
                <w:spacing w:val="-21"/>
                <w:sz w:val="21"/>
              </w:rPr>
              <w:t xml:space="preserve"> 万元以上 </w:t>
            </w:r>
            <w:r>
              <w:rPr>
                <w:color w:val="auto"/>
                <w:sz w:val="21"/>
              </w:rPr>
              <w:t>6.5</w:t>
            </w:r>
            <w:r>
              <w:rPr>
                <w:color w:val="auto"/>
                <w:spacing w:val="-16"/>
                <w:sz w:val="21"/>
              </w:rPr>
              <w:t xml:space="preserve"> 万元以下</w:t>
            </w:r>
            <w:r>
              <w:rPr>
                <w:color w:val="auto"/>
                <w:sz w:val="21"/>
              </w:rPr>
              <w:t>罚款。</w:t>
            </w:r>
          </w:p>
        </w:tc>
        <w:tc>
          <w:tcPr>
            <w:tcW w:w="2717" w:type="dxa"/>
            <w:vAlign w:val="top"/>
          </w:tcPr>
          <w:p w14:paraId="5DD76F73">
            <w:pPr>
              <w:pStyle w:val="8"/>
              <w:jc w:val="both"/>
              <w:rPr>
                <w:rFonts w:ascii="Times New Roman"/>
                <w:color w:val="auto"/>
                <w:sz w:val="20"/>
              </w:rPr>
            </w:pPr>
          </w:p>
          <w:p w14:paraId="52932DD3">
            <w:pPr>
              <w:pStyle w:val="8"/>
              <w:jc w:val="both"/>
              <w:rPr>
                <w:rFonts w:ascii="Times New Roman"/>
                <w:color w:val="auto"/>
                <w:sz w:val="20"/>
              </w:rPr>
            </w:pPr>
          </w:p>
          <w:p w14:paraId="40B6591C">
            <w:pPr>
              <w:pStyle w:val="8"/>
              <w:spacing w:before="8"/>
              <w:jc w:val="both"/>
              <w:rPr>
                <w:rFonts w:ascii="Times New Roman"/>
                <w:color w:val="auto"/>
                <w:sz w:val="17"/>
              </w:rPr>
            </w:pPr>
          </w:p>
          <w:p w14:paraId="0E584852">
            <w:pPr>
              <w:pStyle w:val="8"/>
              <w:spacing w:line="244" w:lineRule="auto"/>
              <w:ind w:left="108" w:right="95"/>
              <w:jc w:val="both"/>
              <w:rPr>
                <w:color w:val="auto"/>
                <w:sz w:val="21"/>
              </w:rPr>
            </w:pPr>
            <w:r>
              <w:rPr>
                <w:color w:val="auto"/>
                <w:spacing w:val="-28"/>
                <w:sz w:val="21"/>
              </w:rPr>
              <w:t xml:space="preserve">处 </w:t>
            </w:r>
            <w:r>
              <w:rPr>
                <w:color w:val="auto"/>
                <w:sz w:val="21"/>
              </w:rPr>
              <w:t>6.5</w:t>
            </w:r>
            <w:r>
              <w:rPr>
                <w:color w:val="auto"/>
                <w:spacing w:val="-20"/>
                <w:sz w:val="21"/>
              </w:rPr>
              <w:t xml:space="preserve"> 万元以上 </w:t>
            </w:r>
            <w:r>
              <w:rPr>
                <w:color w:val="auto"/>
                <w:sz w:val="21"/>
              </w:rPr>
              <w:t>8.5</w:t>
            </w:r>
            <w:r>
              <w:rPr>
                <w:color w:val="auto"/>
                <w:spacing w:val="-19"/>
                <w:sz w:val="21"/>
              </w:rPr>
              <w:t xml:space="preserve"> 万元以</w:t>
            </w:r>
            <w:r>
              <w:rPr>
                <w:color w:val="auto"/>
                <w:spacing w:val="-1"/>
                <w:sz w:val="21"/>
              </w:rPr>
              <w:t>下罚款。</w:t>
            </w:r>
          </w:p>
        </w:tc>
        <w:tc>
          <w:tcPr>
            <w:tcW w:w="3900" w:type="dxa"/>
            <w:vAlign w:val="top"/>
          </w:tcPr>
          <w:p w14:paraId="30822796">
            <w:pPr>
              <w:pStyle w:val="8"/>
              <w:jc w:val="both"/>
              <w:rPr>
                <w:rFonts w:ascii="Times New Roman"/>
                <w:color w:val="auto"/>
                <w:sz w:val="20"/>
              </w:rPr>
            </w:pPr>
          </w:p>
          <w:p w14:paraId="2B7DA919">
            <w:pPr>
              <w:pStyle w:val="8"/>
              <w:jc w:val="both"/>
              <w:rPr>
                <w:rFonts w:ascii="Times New Roman"/>
                <w:color w:val="auto"/>
                <w:sz w:val="20"/>
              </w:rPr>
            </w:pPr>
          </w:p>
          <w:p w14:paraId="0FDE3BCF">
            <w:pPr>
              <w:pStyle w:val="8"/>
              <w:spacing w:before="7"/>
              <w:jc w:val="both"/>
              <w:rPr>
                <w:rFonts w:ascii="Times New Roman"/>
                <w:color w:val="auto"/>
                <w:sz w:val="29"/>
              </w:rPr>
            </w:pPr>
          </w:p>
          <w:p w14:paraId="7F27463C">
            <w:pPr>
              <w:pStyle w:val="8"/>
              <w:ind w:left="106"/>
              <w:jc w:val="both"/>
              <w:rPr>
                <w:color w:val="auto"/>
                <w:sz w:val="21"/>
              </w:rPr>
            </w:pPr>
            <w:r>
              <w:rPr>
                <w:color w:val="auto"/>
                <w:sz w:val="21"/>
              </w:rPr>
              <w:t>处 8.5 万元以上 10 万元以下罚款。</w:t>
            </w:r>
          </w:p>
        </w:tc>
      </w:tr>
      <w:tr w14:paraId="5CEFE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5" w:hRule="atLeast"/>
        </w:trPr>
        <w:tc>
          <w:tcPr>
            <w:tcW w:w="562" w:type="dxa"/>
            <w:vMerge w:val="continue"/>
            <w:tcBorders>
              <w:top w:val="nil"/>
            </w:tcBorders>
            <w:vAlign w:val="top"/>
          </w:tcPr>
          <w:p w14:paraId="22A89B1F">
            <w:pPr>
              <w:jc w:val="both"/>
              <w:rPr>
                <w:color w:val="auto"/>
                <w:sz w:val="2"/>
                <w:szCs w:val="2"/>
              </w:rPr>
            </w:pPr>
          </w:p>
        </w:tc>
        <w:tc>
          <w:tcPr>
            <w:tcW w:w="696" w:type="dxa"/>
            <w:vMerge w:val="continue"/>
            <w:tcBorders>
              <w:top w:val="nil"/>
            </w:tcBorders>
            <w:vAlign w:val="top"/>
          </w:tcPr>
          <w:p w14:paraId="562F7782">
            <w:pPr>
              <w:jc w:val="both"/>
              <w:rPr>
                <w:color w:val="auto"/>
                <w:sz w:val="2"/>
                <w:szCs w:val="2"/>
              </w:rPr>
            </w:pPr>
          </w:p>
        </w:tc>
        <w:tc>
          <w:tcPr>
            <w:tcW w:w="487" w:type="dxa"/>
            <w:vAlign w:val="top"/>
          </w:tcPr>
          <w:p w14:paraId="709702BD">
            <w:pPr>
              <w:pStyle w:val="8"/>
              <w:spacing w:before="1" w:line="242" w:lineRule="auto"/>
              <w:ind w:left="136" w:right="127"/>
              <w:jc w:val="both"/>
              <w:rPr>
                <w:b/>
                <w:color w:val="auto"/>
                <w:sz w:val="21"/>
              </w:rPr>
            </w:pPr>
            <w:r>
              <w:rPr>
                <w:b/>
                <w:color w:val="auto"/>
                <w:sz w:val="21"/>
              </w:rPr>
              <w:t>造成严重后果</w:t>
            </w:r>
          </w:p>
          <w:p w14:paraId="2E5E3871">
            <w:pPr>
              <w:pStyle w:val="8"/>
              <w:spacing w:before="4" w:line="250" w:lineRule="exact"/>
              <w:ind w:left="136"/>
              <w:jc w:val="both"/>
              <w:rPr>
                <w:b/>
                <w:color w:val="auto"/>
                <w:sz w:val="21"/>
              </w:rPr>
            </w:pPr>
            <w:r>
              <w:rPr>
                <w:b/>
                <w:color w:val="auto"/>
                <w:w w:val="100"/>
                <w:sz w:val="21"/>
              </w:rPr>
              <w:t>的</w:t>
            </w:r>
          </w:p>
        </w:tc>
        <w:tc>
          <w:tcPr>
            <w:tcW w:w="2715" w:type="dxa"/>
            <w:vAlign w:val="top"/>
          </w:tcPr>
          <w:p w14:paraId="0F49D020">
            <w:pPr>
              <w:pStyle w:val="8"/>
              <w:jc w:val="both"/>
              <w:rPr>
                <w:rFonts w:ascii="Times New Roman"/>
                <w:color w:val="auto"/>
                <w:sz w:val="20"/>
              </w:rPr>
            </w:pPr>
          </w:p>
        </w:tc>
        <w:tc>
          <w:tcPr>
            <w:tcW w:w="2714" w:type="dxa"/>
            <w:vAlign w:val="top"/>
          </w:tcPr>
          <w:p w14:paraId="45A25AF7">
            <w:pPr>
              <w:pStyle w:val="8"/>
              <w:jc w:val="both"/>
              <w:rPr>
                <w:rFonts w:ascii="Times New Roman"/>
                <w:color w:val="auto"/>
                <w:sz w:val="20"/>
              </w:rPr>
            </w:pPr>
          </w:p>
          <w:p w14:paraId="675E0D5D">
            <w:pPr>
              <w:pStyle w:val="8"/>
              <w:jc w:val="both"/>
              <w:rPr>
                <w:rFonts w:ascii="Times New Roman"/>
                <w:color w:val="auto"/>
                <w:sz w:val="20"/>
              </w:rPr>
            </w:pPr>
          </w:p>
          <w:p w14:paraId="25E9E3A8">
            <w:pPr>
              <w:pStyle w:val="8"/>
              <w:spacing w:before="4"/>
              <w:jc w:val="both"/>
              <w:rPr>
                <w:rFonts w:ascii="Times New Roman"/>
                <w:color w:val="auto"/>
                <w:sz w:val="19"/>
              </w:rPr>
            </w:pPr>
          </w:p>
          <w:p w14:paraId="42ED1463">
            <w:pPr>
              <w:pStyle w:val="8"/>
              <w:spacing w:line="242" w:lineRule="auto"/>
              <w:ind w:left="108" w:right="93"/>
              <w:jc w:val="both"/>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16</w:t>
            </w:r>
            <w:r>
              <w:rPr>
                <w:color w:val="auto"/>
                <w:spacing w:val="-16"/>
                <w:sz w:val="21"/>
              </w:rPr>
              <w:t xml:space="preserve"> 万元以下</w:t>
            </w:r>
            <w:r>
              <w:rPr>
                <w:color w:val="auto"/>
                <w:sz w:val="21"/>
              </w:rPr>
              <w:t>罚款。</w:t>
            </w:r>
          </w:p>
        </w:tc>
        <w:tc>
          <w:tcPr>
            <w:tcW w:w="2717" w:type="dxa"/>
            <w:vAlign w:val="top"/>
          </w:tcPr>
          <w:p w14:paraId="1CF419E8">
            <w:pPr>
              <w:pStyle w:val="8"/>
              <w:jc w:val="both"/>
              <w:rPr>
                <w:rFonts w:ascii="Times New Roman"/>
                <w:color w:val="auto"/>
                <w:sz w:val="20"/>
              </w:rPr>
            </w:pPr>
          </w:p>
          <w:p w14:paraId="44DB16C4">
            <w:pPr>
              <w:pStyle w:val="8"/>
              <w:jc w:val="both"/>
              <w:rPr>
                <w:rFonts w:ascii="Times New Roman"/>
                <w:color w:val="auto"/>
                <w:sz w:val="20"/>
              </w:rPr>
            </w:pPr>
          </w:p>
          <w:p w14:paraId="663BDF5D">
            <w:pPr>
              <w:pStyle w:val="8"/>
              <w:spacing w:before="4"/>
              <w:jc w:val="both"/>
              <w:rPr>
                <w:rFonts w:ascii="Times New Roman"/>
                <w:color w:val="auto"/>
                <w:sz w:val="19"/>
              </w:rPr>
            </w:pPr>
          </w:p>
          <w:p w14:paraId="4FA04F7F">
            <w:pPr>
              <w:pStyle w:val="8"/>
              <w:spacing w:line="242" w:lineRule="auto"/>
              <w:ind w:left="108" w:right="95"/>
              <w:jc w:val="both"/>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6"/>
                <w:sz w:val="21"/>
              </w:rPr>
              <w:t xml:space="preserve"> 万元以下</w:t>
            </w:r>
            <w:r>
              <w:rPr>
                <w:color w:val="auto"/>
                <w:sz w:val="21"/>
              </w:rPr>
              <w:t>罚款。</w:t>
            </w:r>
          </w:p>
        </w:tc>
        <w:tc>
          <w:tcPr>
            <w:tcW w:w="3900" w:type="dxa"/>
            <w:vAlign w:val="top"/>
          </w:tcPr>
          <w:p w14:paraId="28654DDC">
            <w:pPr>
              <w:pStyle w:val="8"/>
              <w:jc w:val="both"/>
              <w:rPr>
                <w:rFonts w:ascii="Times New Roman"/>
                <w:color w:val="auto"/>
                <w:sz w:val="20"/>
              </w:rPr>
            </w:pPr>
          </w:p>
          <w:p w14:paraId="534605A0">
            <w:pPr>
              <w:pStyle w:val="8"/>
              <w:jc w:val="both"/>
              <w:rPr>
                <w:rFonts w:ascii="Times New Roman"/>
                <w:color w:val="auto"/>
                <w:sz w:val="20"/>
              </w:rPr>
            </w:pPr>
          </w:p>
          <w:p w14:paraId="2BBDB986">
            <w:pPr>
              <w:pStyle w:val="8"/>
              <w:jc w:val="both"/>
              <w:rPr>
                <w:rFonts w:ascii="Times New Roman"/>
                <w:color w:val="auto"/>
                <w:sz w:val="20"/>
              </w:rPr>
            </w:pPr>
          </w:p>
          <w:p w14:paraId="6FC2E142">
            <w:pPr>
              <w:pStyle w:val="8"/>
              <w:spacing w:before="127"/>
              <w:ind w:left="106"/>
              <w:jc w:val="both"/>
              <w:rPr>
                <w:color w:val="auto"/>
                <w:sz w:val="21"/>
              </w:rPr>
            </w:pPr>
            <w:r>
              <w:rPr>
                <w:color w:val="auto"/>
                <w:sz w:val="21"/>
              </w:rPr>
              <w:t>处 24 万元以上 30 万元以下罚款。</w:t>
            </w:r>
          </w:p>
        </w:tc>
      </w:tr>
    </w:tbl>
    <w:p w14:paraId="6FA91C82">
      <w:pPr>
        <w:spacing w:after="0"/>
        <w:jc w:val="both"/>
        <w:rPr>
          <w:color w:val="auto"/>
          <w:sz w:val="21"/>
        </w:rPr>
        <w:sectPr>
          <w:pgSz w:w="16840" w:h="11910" w:orient="landscape"/>
          <w:pgMar w:top="1100" w:right="1400" w:bottom="1760" w:left="1400" w:header="0" w:footer="1572" w:gutter="0"/>
          <w:pgNumType w:fmt="numberInDash"/>
          <w:cols w:space="720" w:num="1"/>
        </w:sectPr>
      </w:pPr>
    </w:p>
    <w:p w14:paraId="38D35D98">
      <w:pPr>
        <w:pStyle w:val="4"/>
        <w:spacing w:before="2"/>
        <w:jc w:val="both"/>
        <w:rPr>
          <w:rFonts w:ascii="Times New Roman"/>
          <w:color w:val="auto"/>
          <w:sz w:val="26"/>
        </w:rPr>
      </w:pPr>
    </w:p>
    <w:tbl>
      <w:tblPr>
        <w:tblStyle w:val="6"/>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46"/>
        <w:gridCol w:w="538"/>
        <w:gridCol w:w="2715"/>
        <w:gridCol w:w="2714"/>
        <w:gridCol w:w="2717"/>
        <w:gridCol w:w="3900"/>
      </w:tblGrid>
      <w:tr w14:paraId="2D752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restart"/>
            <w:vAlign w:val="top"/>
          </w:tcPr>
          <w:p w14:paraId="6D52A25C">
            <w:pPr>
              <w:pStyle w:val="8"/>
              <w:jc w:val="both"/>
              <w:rPr>
                <w:rFonts w:ascii="Times New Roman"/>
                <w:color w:val="auto"/>
                <w:sz w:val="20"/>
              </w:rPr>
            </w:pPr>
          </w:p>
          <w:p w14:paraId="32A16D09">
            <w:pPr>
              <w:pStyle w:val="8"/>
              <w:jc w:val="both"/>
              <w:rPr>
                <w:rFonts w:ascii="Times New Roman"/>
                <w:color w:val="auto"/>
                <w:sz w:val="20"/>
              </w:rPr>
            </w:pPr>
          </w:p>
          <w:p w14:paraId="58A77386">
            <w:pPr>
              <w:pStyle w:val="8"/>
              <w:jc w:val="both"/>
              <w:rPr>
                <w:rFonts w:ascii="Times New Roman"/>
                <w:color w:val="auto"/>
                <w:sz w:val="20"/>
              </w:rPr>
            </w:pPr>
          </w:p>
          <w:p w14:paraId="7526F956">
            <w:pPr>
              <w:pStyle w:val="8"/>
              <w:jc w:val="both"/>
              <w:rPr>
                <w:rFonts w:ascii="Times New Roman"/>
                <w:color w:val="auto"/>
                <w:sz w:val="20"/>
              </w:rPr>
            </w:pPr>
          </w:p>
          <w:p w14:paraId="21B96E25">
            <w:pPr>
              <w:pStyle w:val="8"/>
              <w:jc w:val="both"/>
              <w:rPr>
                <w:rFonts w:ascii="Times New Roman"/>
                <w:color w:val="auto"/>
                <w:sz w:val="20"/>
              </w:rPr>
            </w:pPr>
          </w:p>
          <w:p w14:paraId="48FB2859">
            <w:pPr>
              <w:pStyle w:val="8"/>
              <w:jc w:val="both"/>
              <w:rPr>
                <w:rFonts w:ascii="Times New Roman"/>
                <w:color w:val="auto"/>
                <w:sz w:val="20"/>
              </w:rPr>
            </w:pPr>
          </w:p>
          <w:p w14:paraId="4FD7B68D">
            <w:pPr>
              <w:pStyle w:val="8"/>
              <w:jc w:val="both"/>
              <w:rPr>
                <w:rFonts w:ascii="Times New Roman"/>
                <w:color w:val="auto"/>
                <w:sz w:val="20"/>
              </w:rPr>
            </w:pPr>
          </w:p>
          <w:p w14:paraId="1F581B07">
            <w:pPr>
              <w:pStyle w:val="8"/>
              <w:jc w:val="both"/>
              <w:rPr>
                <w:rFonts w:ascii="Times New Roman"/>
                <w:color w:val="auto"/>
                <w:sz w:val="20"/>
              </w:rPr>
            </w:pPr>
          </w:p>
          <w:p w14:paraId="6E62848F">
            <w:pPr>
              <w:pStyle w:val="8"/>
              <w:jc w:val="both"/>
              <w:rPr>
                <w:rFonts w:ascii="Times New Roman"/>
                <w:color w:val="auto"/>
                <w:sz w:val="20"/>
              </w:rPr>
            </w:pPr>
          </w:p>
          <w:p w14:paraId="10FA5479">
            <w:pPr>
              <w:pStyle w:val="8"/>
              <w:jc w:val="both"/>
              <w:rPr>
                <w:rFonts w:ascii="Times New Roman"/>
                <w:color w:val="auto"/>
                <w:sz w:val="20"/>
              </w:rPr>
            </w:pPr>
          </w:p>
          <w:p w14:paraId="0D81C4B5">
            <w:pPr>
              <w:pStyle w:val="8"/>
              <w:jc w:val="both"/>
              <w:rPr>
                <w:rFonts w:ascii="Times New Roman"/>
                <w:color w:val="auto"/>
                <w:sz w:val="20"/>
              </w:rPr>
            </w:pPr>
          </w:p>
          <w:p w14:paraId="5676AFBC">
            <w:pPr>
              <w:pStyle w:val="8"/>
              <w:jc w:val="both"/>
              <w:rPr>
                <w:rFonts w:ascii="Times New Roman"/>
                <w:color w:val="auto"/>
                <w:sz w:val="20"/>
              </w:rPr>
            </w:pPr>
          </w:p>
          <w:p w14:paraId="22ECBB41">
            <w:pPr>
              <w:pStyle w:val="8"/>
              <w:jc w:val="both"/>
              <w:rPr>
                <w:rFonts w:ascii="Times New Roman"/>
                <w:color w:val="auto"/>
                <w:sz w:val="20"/>
              </w:rPr>
            </w:pPr>
          </w:p>
          <w:p w14:paraId="1BF1860B">
            <w:pPr>
              <w:pStyle w:val="8"/>
              <w:jc w:val="both"/>
              <w:rPr>
                <w:rFonts w:ascii="Times New Roman"/>
                <w:color w:val="auto"/>
                <w:sz w:val="20"/>
              </w:rPr>
            </w:pPr>
          </w:p>
          <w:p w14:paraId="626D91C6">
            <w:pPr>
              <w:pStyle w:val="8"/>
              <w:jc w:val="both"/>
              <w:rPr>
                <w:rFonts w:ascii="Times New Roman"/>
                <w:color w:val="auto"/>
                <w:sz w:val="20"/>
              </w:rPr>
            </w:pPr>
          </w:p>
          <w:p w14:paraId="4BF1C954">
            <w:pPr>
              <w:pStyle w:val="8"/>
              <w:spacing w:before="6"/>
              <w:jc w:val="both"/>
              <w:rPr>
                <w:rFonts w:ascii="Times New Roman"/>
                <w:color w:val="auto"/>
                <w:sz w:val="16"/>
              </w:rPr>
            </w:pPr>
          </w:p>
          <w:p w14:paraId="1B3C642E">
            <w:pPr>
              <w:pStyle w:val="8"/>
              <w:ind w:left="175"/>
              <w:jc w:val="both"/>
              <w:rPr>
                <w:b/>
                <w:color w:val="auto"/>
                <w:sz w:val="21"/>
              </w:rPr>
            </w:pPr>
            <w:r>
              <w:rPr>
                <w:b/>
                <w:color w:val="auto"/>
                <w:sz w:val="21"/>
              </w:rPr>
              <w:t>12</w:t>
            </w:r>
          </w:p>
        </w:tc>
        <w:tc>
          <w:tcPr>
            <w:tcW w:w="1184" w:type="dxa"/>
            <w:gridSpan w:val="2"/>
            <w:vAlign w:val="top"/>
          </w:tcPr>
          <w:p w14:paraId="0B0D0128">
            <w:pPr>
              <w:pStyle w:val="8"/>
              <w:spacing w:before="3"/>
              <w:jc w:val="both"/>
              <w:rPr>
                <w:rFonts w:ascii="Times New Roman"/>
                <w:color w:val="auto"/>
                <w:sz w:val="20"/>
              </w:rPr>
            </w:pPr>
          </w:p>
          <w:p w14:paraId="2E354C1A">
            <w:pPr>
              <w:pStyle w:val="8"/>
              <w:spacing w:before="1"/>
              <w:ind w:left="170"/>
              <w:jc w:val="both"/>
              <w:rPr>
                <w:b/>
                <w:color w:val="auto"/>
                <w:sz w:val="21"/>
              </w:rPr>
            </w:pPr>
            <w:r>
              <w:rPr>
                <w:b/>
                <w:color w:val="auto"/>
                <w:sz w:val="21"/>
              </w:rPr>
              <w:t>违法行为</w:t>
            </w:r>
          </w:p>
        </w:tc>
        <w:tc>
          <w:tcPr>
            <w:tcW w:w="12046" w:type="dxa"/>
            <w:gridSpan w:val="4"/>
            <w:vAlign w:val="top"/>
          </w:tcPr>
          <w:p w14:paraId="59B7C592">
            <w:pPr>
              <w:pStyle w:val="8"/>
              <w:spacing w:before="3"/>
              <w:jc w:val="both"/>
              <w:rPr>
                <w:rFonts w:ascii="Times New Roman"/>
                <w:color w:val="auto"/>
                <w:sz w:val="20"/>
              </w:rPr>
            </w:pPr>
          </w:p>
          <w:p w14:paraId="3BFF4227">
            <w:pPr>
              <w:pStyle w:val="8"/>
              <w:spacing w:before="1"/>
              <w:ind w:left="527"/>
              <w:jc w:val="both"/>
              <w:rPr>
                <w:color w:val="auto"/>
                <w:sz w:val="21"/>
              </w:rPr>
            </w:pPr>
            <w:r>
              <w:rPr>
                <w:color w:val="auto"/>
                <w:sz w:val="21"/>
              </w:rPr>
              <w:t>临床试验申办者未经批准开展对人体具有较高风险的第三类医疗器械临床试验的</w:t>
            </w:r>
          </w:p>
        </w:tc>
      </w:tr>
      <w:tr w14:paraId="2561D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trPr>
        <w:tc>
          <w:tcPr>
            <w:tcW w:w="562" w:type="dxa"/>
            <w:vMerge w:val="continue"/>
            <w:tcBorders>
              <w:top w:val="nil"/>
            </w:tcBorders>
            <w:vAlign w:val="top"/>
          </w:tcPr>
          <w:p w14:paraId="324194ED">
            <w:pPr>
              <w:jc w:val="both"/>
              <w:rPr>
                <w:color w:val="auto"/>
                <w:sz w:val="2"/>
                <w:szCs w:val="2"/>
              </w:rPr>
            </w:pPr>
          </w:p>
        </w:tc>
        <w:tc>
          <w:tcPr>
            <w:tcW w:w="1184" w:type="dxa"/>
            <w:gridSpan w:val="2"/>
            <w:vAlign w:val="top"/>
          </w:tcPr>
          <w:p w14:paraId="5FA91B4C">
            <w:pPr>
              <w:pStyle w:val="8"/>
              <w:jc w:val="both"/>
              <w:rPr>
                <w:rFonts w:ascii="Times New Roman"/>
                <w:color w:val="auto"/>
                <w:sz w:val="20"/>
              </w:rPr>
            </w:pPr>
          </w:p>
          <w:p w14:paraId="01BC1593">
            <w:pPr>
              <w:pStyle w:val="8"/>
              <w:jc w:val="both"/>
              <w:rPr>
                <w:rFonts w:ascii="Times New Roman"/>
                <w:color w:val="auto"/>
                <w:sz w:val="20"/>
              </w:rPr>
            </w:pPr>
          </w:p>
          <w:p w14:paraId="7698679C">
            <w:pPr>
              <w:pStyle w:val="8"/>
              <w:spacing w:before="8"/>
              <w:jc w:val="both"/>
              <w:rPr>
                <w:rFonts w:ascii="Times New Roman"/>
                <w:color w:val="auto"/>
                <w:sz w:val="19"/>
              </w:rPr>
            </w:pPr>
          </w:p>
          <w:p w14:paraId="644D9FEA">
            <w:pPr>
              <w:pStyle w:val="8"/>
              <w:spacing w:before="1"/>
              <w:ind w:left="170"/>
              <w:jc w:val="both"/>
              <w:rPr>
                <w:b/>
                <w:color w:val="auto"/>
                <w:sz w:val="21"/>
              </w:rPr>
            </w:pPr>
            <w:r>
              <w:rPr>
                <w:b/>
                <w:color w:val="auto"/>
                <w:sz w:val="21"/>
              </w:rPr>
              <w:t>处罚依据</w:t>
            </w:r>
          </w:p>
        </w:tc>
        <w:tc>
          <w:tcPr>
            <w:tcW w:w="12046" w:type="dxa"/>
            <w:gridSpan w:val="4"/>
            <w:vAlign w:val="top"/>
          </w:tcPr>
          <w:p w14:paraId="018E137E">
            <w:pPr>
              <w:pStyle w:val="8"/>
              <w:spacing w:before="142" w:line="244" w:lineRule="auto"/>
              <w:ind w:left="107" w:right="95" w:firstLine="420"/>
              <w:jc w:val="both"/>
              <w:rPr>
                <w:color w:val="auto"/>
                <w:sz w:val="21"/>
              </w:rPr>
            </w:pPr>
            <w:r>
              <w:rPr>
                <w:color w:val="auto"/>
                <w:spacing w:val="-1"/>
                <w:sz w:val="21"/>
              </w:rPr>
              <w:t>根据《医疗器械监督管理条例》第九十三条第三款规定，临床试验申办者未经批准开展对人体具有较高风险的第三类医疗器</w:t>
            </w:r>
            <w:r>
              <w:rPr>
                <w:color w:val="auto"/>
                <w:spacing w:val="-4"/>
                <w:sz w:val="21"/>
              </w:rPr>
              <w:t xml:space="preserve">械临床试验的，由负责药品监督管理的部门责令立即停止临床试验，对临床试验申办者处 </w:t>
            </w:r>
            <w:r>
              <w:rPr>
                <w:color w:val="auto"/>
                <w:sz w:val="21"/>
              </w:rPr>
              <w:t>10</w:t>
            </w:r>
            <w:r>
              <w:rPr>
                <w:color w:val="auto"/>
                <w:spacing w:val="-9"/>
                <w:sz w:val="21"/>
              </w:rPr>
              <w:t xml:space="preserve"> 万元以上 </w:t>
            </w:r>
            <w:r>
              <w:rPr>
                <w:color w:val="auto"/>
                <w:sz w:val="21"/>
              </w:rPr>
              <w:t>30</w:t>
            </w:r>
            <w:r>
              <w:rPr>
                <w:color w:val="auto"/>
                <w:spacing w:val="-6"/>
                <w:sz w:val="21"/>
              </w:rPr>
              <w:t xml:space="preserve"> 万元以下罚款，并向社</w:t>
            </w:r>
          </w:p>
          <w:p w14:paraId="0816B6C3">
            <w:pPr>
              <w:pStyle w:val="8"/>
              <w:spacing w:line="242" w:lineRule="auto"/>
              <w:ind w:left="107" w:right="96"/>
              <w:jc w:val="both"/>
              <w:rPr>
                <w:color w:val="auto"/>
                <w:sz w:val="21"/>
              </w:rPr>
            </w:pPr>
            <w:r>
              <w:rPr>
                <w:color w:val="auto"/>
                <w:spacing w:val="-11"/>
                <w:sz w:val="21"/>
              </w:rPr>
              <w:t xml:space="preserve">会公告；造成严重后果的，处 </w:t>
            </w:r>
            <w:r>
              <w:rPr>
                <w:color w:val="auto"/>
                <w:sz w:val="21"/>
              </w:rPr>
              <w:t>30</w:t>
            </w:r>
            <w:r>
              <w:rPr>
                <w:color w:val="auto"/>
                <w:spacing w:val="-15"/>
                <w:sz w:val="21"/>
              </w:rPr>
              <w:t xml:space="preserve"> 万元以上 </w:t>
            </w:r>
            <w:r>
              <w:rPr>
                <w:color w:val="auto"/>
                <w:sz w:val="21"/>
              </w:rPr>
              <w:t>100</w:t>
            </w:r>
            <w:r>
              <w:rPr>
                <w:color w:val="auto"/>
                <w:spacing w:val="-10"/>
                <w:sz w:val="21"/>
              </w:rPr>
              <w:t xml:space="preserve"> 万元以下罚款。该临床试验数据不得用于产品注册，</w:t>
            </w:r>
            <w:r>
              <w:rPr>
                <w:color w:val="auto"/>
                <w:spacing w:val="-9"/>
                <w:sz w:val="21"/>
              </w:rPr>
              <w:t>10</w:t>
            </w:r>
            <w:r>
              <w:rPr>
                <w:color w:val="auto"/>
                <w:spacing w:val="-8"/>
                <w:sz w:val="21"/>
              </w:rPr>
              <w:t xml:space="preserve"> 年内不受理相关责任人以及</w:t>
            </w:r>
            <w:r>
              <w:rPr>
                <w:color w:val="auto"/>
                <w:spacing w:val="-9"/>
                <w:sz w:val="21"/>
              </w:rPr>
              <w:t>单位提出的医疗器械临床试验和注册申请，对违法单位的法定代表人、主要负责人、直接负责的主管人员和其他责任人员，没收</w:t>
            </w:r>
            <w:r>
              <w:rPr>
                <w:color w:val="auto"/>
                <w:spacing w:val="-6"/>
                <w:sz w:val="21"/>
              </w:rPr>
              <w:t xml:space="preserve">违法行为发生期间自本单位所获收入，并处所获收入 </w:t>
            </w:r>
            <w:r>
              <w:rPr>
                <w:color w:val="auto"/>
                <w:sz w:val="21"/>
              </w:rPr>
              <w:t>30</w:t>
            </w:r>
            <w:r>
              <w:rPr>
                <w:color w:val="auto"/>
                <w:spacing w:val="-14"/>
                <w:sz w:val="21"/>
              </w:rPr>
              <w:t xml:space="preserve">%以上 </w:t>
            </w:r>
            <w:r>
              <w:rPr>
                <w:color w:val="auto"/>
                <w:sz w:val="21"/>
              </w:rPr>
              <w:t>3</w:t>
            </w:r>
            <w:r>
              <w:rPr>
                <w:color w:val="auto"/>
                <w:spacing w:val="-10"/>
                <w:sz w:val="21"/>
              </w:rPr>
              <w:t xml:space="preserve"> 倍以下罚款。</w:t>
            </w:r>
          </w:p>
        </w:tc>
      </w:tr>
      <w:tr w14:paraId="0E1D4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2" w:type="dxa"/>
            <w:vMerge w:val="continue"/>
            <w:tcBorders>
              <w:top w:val="nil"/>
            </w:tcBorders>
            <w:vAlign w:val="top"/>
          </w:tcPr>
          <w:p w14:paraId="379EA549">
            <w:pPr>
              <w:jc w:val="both"/>
              <w:rPr>
                <w:color w:val="auto"/>
                <w:sz w:val="2"/>
                <w:szCs w:val="2"/>
              </w:rPr>
            </w:pPr>
          </w:p>
        </w:tc>
        <w:tc>
          <w:tcPr>
            <w:tcW w:w="1184" w:type="dxa"/>
            <w:gridSpan w:val="2"/>
            <w:vAlign w:val="top"/>
          </w:tcPr>
          <w:p w14:paraId="26F09358">
            <w:pPr>
              <w:pStyle w:val="8"/>
              <w:spacing w:before="147"/>
              <w:ind w:left="170"/>
              <w:jc w:val="both"/>
              <w:rPr>
                <w:b/>
                <w:color w:val="auto"/>
                <w:sz w:val="21"/>
              </w:rPr>
            </w:pPr>
            <w:r>
              <w:rPr>
                <w:b/>
                <w:color w:val="auto"/>
                <w:sz w:val="21"/>
              </w:rPr>
              <w:t>裁量等级</w:t>
            </w:r>
          </w:p>
        </w:tc>
        <w:tc>
          <w:tcPr>
            <w:tcW w:w="2715" w:type="dxa"/>
            <w:vAlign w:val="top"/>
          </w:tcPr>
          <w:p w14:paraId="53EBE0BC">
            <w:pPr>
              <w:pStyle w:val="8"/>
              <w:spacing w:before="147"/>
              <w:ind w:left="107"/>
              <w:jc w:val="both"/>
              <w:rPr>
                <w:b/>
                <w:color w:val="auto"/>
                <w:sz w:val="21"/>
              </w:rPr>
            </w:pPr>
            <w:r>
              <w:rPr>
                <w:b/>
                <w:color w:val="auto"/>
                <w:sz w:val="21"/>
              </w:rPr>
              <w:t>减轻</w:t>
            </w:r>
          </w:p>
        </w:tc>
        <w:tc>
          <w:tcPr>
            <w:tcW w:w="2714" w:type="dxa"/>
            <w:vAlign w:val="top"/>
          </w:tcPr>
          <w:p w14:paraId="6DA93C52">
            <w:pPr>
              <w:pStyle w:val="8"/>
              <w:spacing w:before="147"/>
              <w:ind w:left="107"/>
              <w:jc w:val="both"/>
              <w:rPr>
                <w:b/>
                <w:color w:val="auto"/>
                <w:sz w:val="21"/>
              </w:rPr>
            </w:pPr>
            <w:r>
              <w:rPr>
                <w:b/>
                <w:color w:val="auto"/>
                <w:sz w:val="21"/>
              </w:rPr>
              <w:t>从轻</w:t>
            </w:r>
          </w:p>
        </w:tc>
        <w:tc>
          <w:tcPr>
            <w:tcW w:w="2717" w:type="dxa"/>
            <w:vAlign w:val="top"/>
          </w:tcPr>
          <w:p w14:paraId="34CF521A">
            <w:pPr>
              <w:pStyle w:val="8"/>
              <w:spacing w:before="147"/>
              <w:ind w:left="107"/>
              <w:jc w:val="both"/>
              <w:rPr>
                <w:b/>
                <w:color w:val="auto"/>
                <w:sz w:val="21"/>
              </w:rPr>
            </w:pPr>
            <w:r>
              <w:rPr>
                <w:b/>
                <w:color w:val="auto"/>
                <w:sz w:val="21"/>
              </w:rPr>
              <w:t>一般</w:t>
            </w:r>
          </w:p>
        </w:tc>
        <w:tc>
          <w:tcPr>
            <w:tcW w:w="3900" w:type="dxa"/>
            <w:vAlign w:val="top"/>
          </w:tcPr>
          <w:p w14:paraId="5F6A811C">
            <w:pPr>
              <w:pStyle w:val="8"/>
              <w:spacing w:before="147"/>
              <w:ind w:left="105"/>
              <w:jc w:val="both"/>
              <w:rPr>
                <w:b/>
                <w:color w:val="auto"/>
                <w:sz w:val="21"/>
              </w:rPr>
            </w:pPr>
            <w:r>
              <w:rPr>
                <w:b/>
                <w:color w:val="auto"/>
                <w:sz w:val="21"/>
              </w:rPr>
              <w:t>从重</w:t>
            </w:r>
          </w:p>
        </w:tc>
      </w:tr>
      <w:tr w14:paraId="2D433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12603840">
            <w:pPr>
              <w:jc w:val="both"/>
              <w:rPr>
                <w:color w:val="auto"/>
                <w:sz w:val="2"/>
                <w:szCs w:val="2"/>
              </w:rPr>
            </w:pPr>
          </w:p>
        </w:tc>
        <w:tc>
          <w:tcPr>
            <w:tcW w:w="1184" w:type="dxa"/>
            <w:gridSpan w:val="2"/>
            <w:vAlign w:val="top"/>
          </w:tcPr>
          <w:p w14:paraId="6A36753E">
            <w:pPr>
              <w:pStyle w:val="8"/>
              <w:spacing w:before="3"/>
              <w:jc w:val="both"/>
              <w:rPr>
                <w:rFonts w:ascii="Times New Roman"/>
                <w:color w:val="auto"/>
                <w:sz w:val="20"/>
              </w:rPr>
            </w:pPr>
          </w:p>
          <w:p w14:paraId="28E87AD6">
            <w:pPr>
              <w:pStyle w:val="8"/>
              <w:spacing w:before="1"/>
              <w:ind w:left="170"/>
              <w:jc w:val="both"/>
              <w:rPr>
                <w:b/>
                <w:color w:val="auto"/>
                <w:sz w:val="21"/>
              </w:rPr>
            </w:pPr>
            <w:r>
              <w:rPr>
                <w:b/>
                <w:color w:val="auto"/>
                <w:sz w:val="21"/>
              </w:rPr>
              <w:t>裁量情节</w:t>
            </w:r>
          </w:p>
        </w:tc>
        <w:tc>
          <w:tcPr>
            <w:tcW w:w="2715" w:type="dxa"/>
            <w:vAlign w:val="top"/>
          </w:tcPr>
          <w:p w14:paraId="4D7B6CA4">
            <w:pPr>
              <w:pStyle w:val="8"/>
              <w:spacing w:before="97" w:line="244" w:lineRule="auto"/>
              <w:ind w:left="107" w:right="98"/>
              <w:jc w:val="both"/>
              <w:rPr>
                <w:color w:val="auto"/>
                <w:sz w:val="21"/>
              </w:rPr>
            </w:pPr>
            <w:r>
              <w:rPr>
                <w:color w:val="auto"/>
                <w:sz w:val="21"/>
              </w:rPr>
              <w:t>符合裁量规定减轻行政处罚情形的。</w:t>
            </w:r>
          </w:p>
        </w:tc>
        <w:tc>
          <w:tcPr>
            <w:tcW w:w="2714" w:type="dxa"/>
            <w:vAlign w:val="top"/>
          </w:tcPr>
          <w:p w14:paraId="27EB3401">
            <w:pPr>
              <w:pStyle w:val="8"/>
              <w:spacing w:before="97" w:line="244" w:lineRule="auto"/>
              <w:ind w:left="107" w:right="95"/>
              <w:jc w:val="both"/>
              <w:rPr>
                <w:color w:val="auto"/>
                <w:sz w:val="21"/>
              </w:rPr>
            </w:pPr>
            <w:r>
              <w:rPr>
                <w:color w:val="auto"/>
                <w:sz w:val="21"/>
              </w:rPr>
              <w:t>符合裁量规定从轻行政处罚情形的。</w:t>
            </w:r>
          </w:p>
        </w:tc>
        <w:tc>
          <w:tcPr>
            <w:tcW w:w="2717" w:type="dxa"/>
            <w:vAlign w:val="top"/>
          </w:tcPr>
          <w:p w14:paraId="4CE3F288">
            <w:pPr>
              <w:pStyle w:val="8"/>
              <w:spacing w:before="97" w:line="244" w:lineRule="auto"/>
              <w:ind w:left="107" w:right="98"/>
              <w:jc w:val="both"/>
              <w:rPr>
                <w:color w:val="auto"/>
                <w:sz w:val="21"/>
              </w:rPr>
            </w:pPr>
            <w:r>
              <w:rPr>
                <w:color w:val="auto"/>
                <w:sz w:val="21"/>
              </w:rPr>
              <w:t>符合裁量规定一般行政处罚情形的。</w:t>
            </w:r>
          </w:p>
        </w:tc>
        <w:tc>
          <w:tcPr>
            <w:tcW w:w="3900" w:type="dxa"/>
            <w:vAlign w:val="top"/>
          </w:tcPr>
          <w:p w14:paraId="4AE4E6D2">
            <w:pPr>
              <w:pStyle w:val="8"/>
              <w:spacing w:before="3"/>
              <w:jc w:val="both"/>
              <w:rPr>
                <w:rFonts w:ascii="Times New Roman"/>
                <w:color w:val="auto"/>
                <w:sz w:val="20"/>
              </w:rPr>
            </w:pPr>
          </w:p>
          <w:p w14:paraId="55B1D3FA">
            <w:pPr>
              <w:pStyle w:val="8"/>
              <w:spacing w:before="1"/>
              <w:ind w:left="105"/>
              <w:jc w:val="both"/>
              <w:rPr>
                <w:color w:val="auto"/>
                <w:sz w:val="21"/>
              </w:rPr>
            </w:pPr>
            <w:r>
              <w:rPr>
                <w:color w:val="auto"/>
                <w:sz w:val="21"/>
              </w:rPr>
              <w:t>符合裁量规定从重行政处罚情形的。</w:t>
            </w:r>
          </w:p>
        </w:tc>
      </w:tr>
      <w:tr w14:paraId="32311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562" w:type="dxa"/>
            <w:vMerge w:val="continue"/>
            <w:tcBorders>
              <w:top w:val="nil"/>
            </w:tcBorders>
            <w:vAlign w:val="top"/>
          </w:tcPr>
          <w:p w14:paraId="2B866392">
            <w:pPr>
              <w:jc w:val="both"/>
              <w:rPr>
                <w:color w:val="auto"/>
                <w:sz w:val="2"/>
                <w:szCs w:val="2"/>
              </w:rPr>
            </w:pPr>
          </w:p>
        </w:tc>
        <w:tc>
          <w:tcPr>
            <w:tcW w:w="646" w:type="dxa"/>
            <w:vMerge w:val="restart"/>
            <w:vAlign w:val="top"/>
          </w:tcPr>
          <w:p w14:paraId="4FCE8A44">
            <w:pPr>
              <w:pStyle w:val="8"/>
              <w:jc w:val="both"/>
              <w:rPr>
                <w:rFonts w:ascii="Times New Roman"/>
                <w:color w:val="auto"/>
                <w:sz w:val="20"/>
              </w:rPr>
            </w:pPr>
          </w:p>
          <w:p w14:paraId="030E0080">
            <w:pPr>
              <w:pStyle w:val="8"/>
              <w:jc w:val="both"/>
              <w:rPr>
                <w:rFonts w:ascii="Times New Roman"/>
                <w:color w:val="auto"/>
                <w:sz w:val="20"/>
              </w:rPr>
            </w:pPr>
          </w:p>
          <w:p w14:paraId="6A0D6ACC">
            <w:pPr>
              <w:pStyle w:val="8"/>
              <w:jc w:val="both"/>
              <w:rPr>
                <w:rFonts w:ascii="Times New Roman"/>
                <w:color w:val="auto"/>
                <w:sz w:val="20"/>
              </w:rPr>
            </w:pPr>
          </w:p>
          <w:p w14:paraId="7F4AADA5">
            <w:pPr>
              <w:pStyle w:val="8"/>
              <w:jc w:val="both"/>
              <w:rPr>
                <w:rFonts w:ascii="Times New Roman"/>
                <w:color w:val="auto"/>
                <w:sz w:val="20"/>
              </w:rPr>
            </w:pPr>
          </w:p>
          <w:p w14:paraId="1C54EB4C">
            <w:pPr>
              <w:pStyle w:val="8"/>
              <w:jc w:val="both"/>
              <w:rPr>
                <w:rFonts w:ascii="Times New Roman"/>
                <w:color w:val="auto"/>
                <w:sz w:val="20"/>
              </w:rPr>
            </w:pPr>
          </w:p>
          <w:p w14:paraId="5C8C6773">
            <w:pPr>
              <w:pStyle w:val="8"/>
              <w:jc w:val="both"/>
              <w:rPr>
                <w:rFonts w:ascii="Times New Roman"/>
                <w:color w:val="auto"/>
                <w:sz w:val="20"/>
              </w:rPr>
            </w:pPr>
          </w:p>
          <w:p w14:paraId="67376AF0">
            <w:pPr>
              <w:pStyle w:val="8"/>
              <w:spacing w:before="7"/>
              <w:jc w:val="both"/>
              <w:rPr>
                <w:rFonts w:ascii="Times New Roman"/>
                <w:color w:val="auto"/>
                <w:sz w:val="22"/>
              </w:rPr>
            </w:pPr>
          </w:p>
          <w:p w14:paraId="7969E21E">
            <w:pPr>
              <w:pStyle w:val="8"/>
              <w:spacing w:line="244" w:lineRule="auto"/>
              <w:ind w:left="110" w:right="101"/>
              <w:jc w:val="both"/>
              <w:rPr>
                <w:b/>
                <w:color w:val="auto"/>
                <w:sz w:val="21"/>
              </w:rPr>
            </w:pPr>
            <w:r>
              <w:rPr>
                <w:b/>
                <w:color w:val="auto"/>
                <w:sz w:val="21"/>
              </w:rPr>
              <w:t>裁量基准</w:t>
            </w:r>
          </w:p>
        </w:tc>
        <w:tc>
          <w:tcPr>
            <w:tcW w:w="538" w:type="dxa"/>
            <w:vAlign w:val="top"/>
          </w:tcPr>
          <w:p w14:paraId="1B77AE1B">
            <w:pPr>
              <w:pStyle w:val="8"/>
              <w:jc w:val="both"/>
              <w:rPr>
                <w:rFonts w:ascii="Times New Roman"/>
                <w:color w:val="auto"/>
                <w:sz w:val="20"/>
              </w:rPr>
            </w:pPr>
          </w:p>
          <w:p w14:paraId="1E126A43">
            <w:pPr>
              <w:pStyle w:val="8"/>
              <w:spacing w:before="8"/>
              <w:jc w:val="both"/>
              <w:rPr>
                <w:rFonts w:ascii="Times New Roman"/>
                <w:color w:val="auto"/>
                <w:sz w:val="15"/>
              </w:rPr>
            </w:pPr>
          </w:p>
          <w:p w14:paraId="301ED997">
            <w:pPr>
              <w:pStyle w:val="8"/>
              <w:spacing w:before="1" w:line="242" w:lineRule="auto"/>
              <w:ind w:left="162" w:right="152"/>
              <w:jc w:val="both"/>
              <w:rPr>
                <w:b/>
                <w:color w:val="auto"/>
                <w:sz w:val="21"/>
              </w:rPr>
            </w:pPr>
            <w:r>
              <w:rPr>
                <w:b/>
                <w:color w:val="auto"/>
                <w:sz w:val="21"/>
              </w:rPr>
              <w:t>一般情形</w:t>
            </w:r>
          </w:p>
        </w:tc>
        <w:tc>
          <w:tcPr>
            <w:tcW w:w="2715" w:type="dxa"/>
            <w:vAlign w:val="top"/>
          </w:tcPr>
          <w:p w14:paraId="384149A2">
            <w:pPr>
              <w:pStyle w:val="8"/>
              <w:spacing w:before="1"/>
              <w:ind w:left="107"/>
              <w:jc w:val="both"/>
              <w:rPr>
                <w:color w:val="auto"/>
                <w:sz w:val="21"/>
              </w:rPr>
            </w:pPr>
            <w:r>
              <w:rPr>
                <w:color w:val="auto"/>
                <w:spacing w:val="-9"/>
                <w:sz w:val="21"/>
              </w:rPr>
              <w:t xml:space="preserve">对临床试验申办者处 </w:t>
            </w:r>
            <w:r>
              <w:rPr>
                <w:color w:val="auto"/>
                <w:sz w:val="21"/>
              </w:rPr>
              <w:t>1</w:t>
            </w:r>
            <w:r>
              <w:rPr>
                <w:color w:val="auto"/>
                <w:spacing w:val="-23"/>
                <w:sz w:val="21"/>
              </w:rPr>
              <w:t xml:space="preserve"> 万元</w:t>
            </w:r>
          </w:p>
          <w:p w14:paraId="47499693">
            <w:pPr>
              <w:pStyle w:val="8"/>
              <w:spacing w:before="4" w:line="242" w:lineRule="auto"/>
              <w:ind w:left="107" w:right="98"/>
              <w:jc w:val="both"/>
              <w:rPr>
                <w:color w:val="auto"/>
                <w:sz w:val="21"/>
              </w:rPr>
            </w:pPr>
            <w:r>
              <w:rPr>
                <w:color w:val="auto"/>
                <w:spacing w:val="-2"/>
                <w:sz w:val="21"/>
              </w:rPr>
              <w:t xml:space="preserve">以上 </w:t>
            </w:r>
            <w:r>
              <w:rPr>
                <w:color w:val="auto"/>
                <w:sz w:val="21"/>
              </w:rPr>
              <w:t>10</w:t>
            </w:r>
            <w:r>
              <w:rPr>
                <w:color w:val="auto"/>
                <w:spacing w:val="-5"/>
                <w:sz w:val="21"/>
              </w:rPr>
              <w:t xml:space="preserve"> 万元以下罚款。对</w:t>
            </w:r>
            <w:r>
              <w:rPr>
                <w:color w:val="auto"/>
                <w:spacing w:val="-6"/>
                <w:sz w:val="21"/>
              </w:rPr>
              <w:t>违法单位的法定代表人、主</w:t>
            </w:r>
            <w:r>
              <w:rPr>
                <w:color w:val="auto"/>
                <w:spacing w:val="-7"/>
                <w:sz w:val="21"/>
              </w:rPr>
              <w:t>要负责人、直接负责的主管</w:t>
            </w:r>
            <w:r>
              <w:rPr>
                <w:color w:val="auto"/>
                <w:spacing w:val="13"/>
                <w:sz w:val="21"/>
              </w:rPr>
              <w:t>人员和其他责任人员并处</w:t>
            </w:r>
            <w:r>
              <w:rPr>
                <w:color w:val="auto"/>
                <w:spacing w:val="-2"/>
                <w:sz w:val="21"/>
              </w:rPr>
              <w:t xml:space="preserve">所获收入 </w:t>
            </w:r>
            <w:r>
              <w:rPr>
                <w:color w:val="auto"/>
                <w:sz w:val="21"/>
              </w:rPr>
              <w:t>0.03</w:t>
            </w:r>
            <w:r>
              <w:rPr>
                <w:color w:val="auto"/>
                <w:spacing w:val="-3"/>
                <w:sz w:val="21"/>
              </w:rPr>
              <w:t xml:space="preserve"> 倍以上 </w:t>
            </w:r>
            <w:r>
              <w:rPr>
                <w:color w:val="auto"/>
                <w:spacing w:val="-8"/>
                <w:sz w:val="21"/>
              </w:rPr>
              <w:t>0.3</w:t>
            </w:r>
          </w:p>
          <w:p w14:paraId="3452186D">
            <w:pPr>
              <w:pStyle w:val="8"/>
              <w:spacing w:before="3" w:line="252" w:lineRule="exact"/>
              <w:ind w:left="107"/>
              <w:jc w:val="both"/>
              <w:rPr>
                <w:color w:val="auto"/>
                <w:sz w:val="21"/>
              </w:rPr>
            </w:pPr>
            <w:r>
              <w:rPr>
                <w:color w:val="auto"/>
                <w:sz w:val="21"/>
              </w:rPr>
              <w:t>倍以下罚款。</w:t>
            </w:r>
          </w:p>
        </w:tc>
        <w:tc>
          <w:tcPr>
            <w:tcW w:w="2714" w:type="dxa"/>
            <w:vAlign w:val="top"/>
          </w:tcPr>
          <w:p w14:paraId="04E0A441">
            <w:pPr>
              <w:pStyle w:val="8"/>
              <w:spacing w:before="1"/>
              <w:ind w:left="107"/>
              <w:jc w:val="both"/>
              <w:rPr>
                <w:color w:val="auto"/>
                <w:sz w:val="21"/>
              </w:rPr>
            </w:pPr>
            <w:r>
              <w:rPr>
                <w:color w:val="auto"/>
                <w:spacing w:val="-4"/>
                <w:sz w:val="21"/>
              </w:rPr>
              <w:t xml:space="preserve">对临床试验申办者处 </w:t>
            </w:r>
            <w:r>
              <w:rPr>
                <w:color w:val="auto"/>
                <w:sz w:val="21"/>
              </w:rPr>
              <w:t>10</w:t>
            </w:r>
            <w:r>
              <w:rPr>
                <w:color w:val="auto"/>
                <w:spacing w:val="-4"/>
                <w:sz w:val="21"/>
              </w:rPr>
              <w:t xml:space="preserve"> 万</w:t>
            </w:r>
          </w:p>
          <w:p w14:paraId="15378F83">
            <w:pPr>
              <w:pStyle w:val="8"/>
              <w:spacing w:before="4" w:line="242" w:lineRule="auto"/>
              <w:ind w:left="107" w:right="72"/>
              <w:jc w:val="both"/>
              <w:rPr>
                <w:color w:val="auto"/>
                <w:sz w:val="21"/>
              </w:rPr>
            </w:pPr>
            <w:r>
              <w:rPr>
                <w:color w:val="auto"/>
                <w:spacing w:val="-2"/>
                <w:sz w:val="21"/>
              </w:rPr>
              <w:t xml:space="preserve">元以上 </w:t>
            </w:r>
            <w:r>
              <w:rPr>
                <w:color w:val="auto"/>
                <w:sz w:val="21"/>
              </w:rPr>
              <w:t>16</w:t>
            </w:r>
            <w:r>
              <w:rPr>
                <w:color w:val="auto"/>
                <w:spacing w:val="-3"/>
                <w:sz w:val="21"/>
              </w:rPr>
              <w:t xml:space="preserve"> 万元以下罚款。</w:t>
            </w:r>
            <w:r>
              <w:rPr>
                <w:color w:val="auto"/>
                <w:spacing w:val="-4"/>
                <w:sz w:val="21"/>
              </w:rPr>
              <w:t>对违法单位的法定代表人、</w:t>
            </w:r>
            <w:r>
              <w:rPr>
                <w:color w:val="auto"/>
                <w:spacing w:val="-6"/>
                <w:sz w:val="21"/>
              </w:rPr>
              <w:t>主要负责人、直接负责的主</w:t>
            </w:r>
            <w:r>
              <w:rPr>
                <w:color w:val="auto"/>
                <w:spacing w:val="14"/>
                <w:sz w:val="21"/>
              </w:rPr>
              <w:t>管人员和其他责任人员并</w:t>
            </w:r>
            <w:r>
              <w:rPr>
                <w:color w:val="auto"/>
                <w:spacing w:val="-4"/>
                <w:sz w:val="21"/>
              </w:rPr>
              <w:t xml:space="preserve">处所获收入 </w:t>
            </w:r>
            <w:r>
              <w:rPr>
                <w:color w:val="auto"/>
                <w:sz w:val="21"/>
              </w:rPr>
              <w:t>0.3</w:t>
            </w:r>
            <w:r>
              <w:rPr>
                <w:color w:val="auto"/>
                <w:spacing w:val="-18"/>
                <w:sz w:val="21"/>
              </w:rPr>
              <w:t xml:space="preserve"> 倍以上 </w:t>
            </w:r>
            <w:r>
              <w:rPr>
                <w:color w:val="auto"/>
                <w:sz w:val="21"/>
              </w:rPr>
              <w:t>1.1</w:t>
            </w:r>
            <w:r>
              <w:rPr>
                <w:rFonts w:hint="eastAsia"/>
                <w:color w:val="auto"/>
                <w:sz w:val="21"/>
                <w:lang w:val="en-US" w:eastAsia="zh-CN"/>
              </w:rPr>
              <w:t>1</w:t>
            </w:r>
          </w:p>
          <w:p w14:paraId="1084B5C8">
            <w:pPr>
              <w:pStyle w:val="8"/>
              <w:spacing w:before="3" w:line="252" w:lineRule="exact"/>
              <w:ind w:left="107"/>
              <w:jc w:val="both"/>
              <w:rPr>
                <w:color w:val="auto"/>
                <w:sz w:val="21"/>
              </w:rPr>
            </w:pPr>
            <w:r>
              <w:rPr>
                <w:color w:val="auto"/>
                <w:sz w:val="21"/>
              </w:rPr>
              <w:t>倍以下罚款。</w:t>
            </w:r>
          </w:p>
        </w:tc>
        <w:tc>
          <w:tcPr>
            <w:tcW w:w="2717" w:type="dxa"/>
            <w:vAlign w:val="top"/>
          </w:tcPr>
          <w:p w14:paraId="107CAE44">
            <w:pPr>
              <w:pStyle w:val="8"/>
              <w:spacing w:before="4" w:line="242" w:lineRule="auto"/>
              <w:ind w:left="107" w:right="74"/>
              <w:jc w:val="both"/>
              <w:rPr>
                <w:color w:val="auto"/>
                <w:sz w:val="21"/>
              </w:rPr>
            </w:pPr>
            <w:r>
              <w:rPr>
                <w:color w:val="auto"/>
                <w:spacing w:val="-4"/>
                <w:sz w:val="21"/>
              </w:rPr>
              <w:t xml:space="preserve">对临床试验申办者处 </w:t>
            </w:r>
            <w:r>
              <w:rPr>
                <w:color w:val="auto"/>
                <w:sz w:val="21"/>
              </w:rPr>
              <w:t>16</w:t>
            </w:r>
            <w:r>
              <w:rPr>
                <w:color w:val="auto"/>
                <w:spacing w:val="-4"/>
                <w:sz w:val="21"/>
              </w:rPr>
              <w:t xml:space="preserve"> 万</w:t>
            </w:r>
          </w:p>
          <w:p w14:paraId="33AD19A4">
            <w:pPr>
              <w:pStyle w:val="8"/>
              <w:spacing w:before="4" w:line="242" w:lineRule="auto"/>
              <w:ind w:left="107" w:right="74"/>
              <w:jc w:val="both"/>
              <w:rPr>
                <w:color w:val="auto"/>
                <w:sz w:val="21"/>
              </w:rPr>
            </w:pPr>
            <w:r>
              <w:rPr>
                <w:color w:val="auto"/>
                <w:spacing w:val="-2"/>
                <w:sz w:val="21"/>
              </w:rPr>
              <w:t xml:space="preserve">元以上 </w:t>
            </w:r>
            <w:r>
              <w:rPr>
                <w:color w:val="auto"/>
                <w:sz w:val="21"/>
              </w:rPr>
              <w:t>24</w:t>
            </w:r>
            <w:r>
              <w:rPr>
                <w:color w:val="auto"/>
                <w:spacing w:val="-3"/>
                <w:sz w:val="21"/>
              </w:rPr>
              <w:t xml:space="preserve"> 万元以下罚款。</w:t>
            </w:r>
            <w:r>
              <w:rPr>
                <w:color w:val="auto"/>
                <w:spacing w:val="-4"/>
                <w:sz w:val="21"/>
              </w:rPr>
              <w:t>对违法单位的法定代表人、</w:t>
            </w:r>
            <w:r>
              <w:rPr>
                <w:color w:val="auto"/>
                <w:spacing w:val="-6"/>
                <w:sz w:val="21"/>
              </w:rPr>
              <w:t>主要负责人、直接负责的主</w:t>
            </w:r>
            <w:r>
              <w:rPr>
                <w:color w:val="auto"/>
                <w:spacing w:val="14"/>
                <w:sz w:val="21"/>
              </w:rPr>
              <w:t>管人员和其他责任人员并</w:t>
            </w:r>
            <w:r>
              <w:rPr>
                <w:color w:val="auto"/>
                <w:spacing w:val="-4"/>
                <w:sz w:val="21"/>
              </w:rPr>
              <w:t xml:space="preserve">处所获收入 </w:t>
            </w:r>
            <w:r>
              <w:rPr>
                <w:color w:val="auto"/>
                <w:sz w:val="21"/>
              </w:rPr>
              <w:t>1.1</w:t>
            </w:r>
            <w:r>
              <w:rPr>
                <w:rFonts w:hint="eastAsia"/>
                <w:color w:val="auto"/>
                <w:sz w:val="21"/>
                <w:lang w:val="en-US" w:eastAsia="zh-CN"/>
              </w:rPr>
              <w:t>1</w:t>
            </w:r>
            <w:r>
              <w:rPr>
                <w:color w:val="auto"/>
                <w:spacing w:val="-18"/>
                <w:sz w:val="21"/>
              </w:rPr>
              <w:t xml:space="preserve"> 倍以上 </w:t>
            </w:r>
            <w:r>
              <w:rPr>
                <w:color w:val="auto"/>
                <w:sz w:val="21"/>
              </w:rPr>
              <w:t>2.</w:t>
            </w:r>
            <w:r>
              <w:rPr>
                <w:rFonts w:hint="eastAsia"/>
                <w:color w:val="auto"/>
                <w:sz w:val="21"/>
                <w:lang w:val="en-US" w:eastAsia="zh-CN"/>
              </w:rPr>
              <w:t>19</w:t>
            </w:r>
            <w:r>
              <w:rPr>
                <w:color w:val="auto"/>
                <w:sz w:val="21"/>
              </w:rPr>
              <w:t>倍以下罚款。</w:t>
            </w:r>
          </w:p>
        </w:tc>
        <w:tc>
          <w:tcPr>
            <w:tcW w:w="3900" w:type="dxa"/>
            <w:vAlign w:val="top"/>
          </w:tcPr>
          <w:p w14:paraId="793EC1D3">
            <w:pPr>
              <w:pStyle w:val="8"/>
              <w:spacing w:before="10"/>
              <w:jc w:val="both"/>
              <w:rPr>
                <w:rFonts w:ascii="Times New Roman"/>
                <w:color w:val="auto"/>
                <w:sz w:val="23"/>
              </w:rPr>
            </w:pPr>
          </w:p>
          <w:p w14:paraId="5FCDAD3D">
            <w:pPr>
              <w:pStyle w:val="8"/>
              <w:spacing w:line="242" w:lineRule="auto"/>
              <w:ind w:left="105" w:right="93"/>
              <w:jc w:val="both"/>
              <w:rPr>
                <w:color w:val="auto"/>
                <w:sz w:val="21"/>
              </w:rPr>
            </w:pPr>
            <w:r>
              <w:rPr>
                <w:color w:val="auto"/>
                <w:sz w:val="21"/>
              </w:rPr>
              <w:t>对临床试验申办者处24</w:t>
            </w:r>
            <w:r>
              <w:rPr>
                <w:color w:val="auto"/>
                <w:spacing w:val="-11"/>
                <w:sz w:val="21"/>
              </w:rPr>
              <w:t xml:space="preserve"> 万元以上</w:t>
            </w:r>
            <w:r>
              <w:rPr>
                <w:color w:val="auto"/>
                <w:sz w:val="21"/>
              </w:rPr>
              <w:t>30</w:t>
            </w:r>
            <w:r>
              <w:rPr>
                <w:color w:val="auto"/>
                <w:spacing w:val="-24"/>
                <w:sz w:val="21"/>
              </w:rPr>
              <w:t xml:space="preserve"> 万元</w:t>
            </w:r>
            <w:r>
              <w:rPr>
                <w:color w:val="auto"/>
                <w:spacing w:val="-14"/>
                <w:sz w:val="21"/>
              </w:rPr>
              <w:t>以下罚款。对违法单位的法定代表人、主</w:t>
            </w:r>
            <w:r>
              <w:rPr>
                <w:color w:val="auto"/>
                <w:spacing w:val="-12"/>
                <w:sz w:val="21"/>
              </w:rPr>
              <w:t>要负责人、直接负责的主管人员和其他责</w:t>
            </w:r>
            <w:r>
              <w:rPr>
                <w:color w:val="auto"/>
                <w:spacing w:val="-3"/>
                <w:sz w:val="21"/>
              </w:rPr>
              <w:t>任人员并处所获收入</w:t>
            </w:r>
            <w:r>
              <w:rPr>
                <w:color w:val="auto"/>
                <w:sz w:val="21"/>
              </w:rPr>
              <w:t>2.</w:t>
            </w:r>
            <w:r>
              <w:rPr>
                <w:rFonts w:hint="eastAsia"/>
                <w:color w:val="auto"/>
                <w:sz w:val="21"/>
                <w:lang w:val="en-US" w:eastAsia="zh-CN"/>
              </w:rPr>
              <w:t>19</w:t>
            </w:r>
            <w:r>
              <w:rPr>
                <w:color w:val="auto"/>
                <w:spacing w:val="-12"/>
                <w:sz w:val="21"/>
              </w:rPr>
              <w:t xml:space="preserve"> 倍以上</w:t>
            </w:r>
            <w:r>
              <w:rPr>
                <w:color w:val="auto"/>
                <w:sz w:val="21"/>
              </w:rPr>
              <w:t>3</w:t>
            </w:r>
            <w:r>
              <w:rPr>
                <w:color w:val="auto"/>
                <w:spacing w:val="-21"/>
                <w:sz w:val="21"/>
              </w:rPr>
              <w:t xml:space="preserve"> 倍以下</w:t>
            </w:r>
            <w:r>
              <w:rPr>
                <w:color w:val="auto"/>
                <w:sz w:val="21"/>
              </w:rPr>
              <w:t>罚款。</w:t>
            </w:r>
          </w:p>
        </w:tc>
      </w:tr>
      <w:tr w14:paraId="6FB40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5" w:hRule="atLeast"/>
        </w:trPr>
        <w:tc>
          <w:tcPr>
            <w:tcW w:w="562" w:type="dxa"/>
            <w:vMerge w:val="continue"/>
            <w:tcBorders>
              <w:top w:val="nil"/>
            </w:tcBorders>
            <w:vAlign w:val="top"/>
          </w:tcPr>
          <w:p w14:paraId="496C16DB">
            <w:pPr>
              <w:jc w:val="both"/>
              <w:rPr>
                <w:color w:val="auto"/>
                <w:sz w:val="2"/>
                <w:szCs w:val="2"/>
              </w:rPr>
            </w:pPr>
          </w:p>
        </w:tc>
        <w:tc>
          <w:tcPr>
            <w:tcW w:w="646" w:type="dxa"/>
            <w:vMerge w:val="continue"/>
            <w:tcBorders>
              <w:top w:val="nil"/>
            </w:tcBorders>
            <w:vAlign w:val="top"/>
          </w:tcPr>
          <w:p w14:paraId="0F410644">
            <w:pPr>
              <w:jc w:val="both"/>
              <w:rPr>
                <w:color w:val="auto"/>
                <w:sz w:val="2"/>
                <w:szCs w:val="2"/>
              </w:rPr>
            </w:pPr>
          </w:p>
        </w:tc>
        <w:tc>
          <w:tcPr>
            <w:tcW w:w="538" w:type="dxa"/>
            <w:vAlign w:val="top"/>
          </w:tcPr>
          <w:p w14:paraId="73FAB117">
            <w:pPr>
              <w:pStyle w:val="8"/>
              <w:spacing w:before="1" w:line="242" w:lineRule="auto"/>
              <w:ind w:left="162" w:right="152"/>
              <w:jc w:val="both"/>
              <w:rPr>
                <w:b/>
                <w:color w:val="auto"/>
                <w:sz w:val="21"/>
              </w:rPr>
            </w:pPr>
            <w:r>
              <w:rPr>
                <w:b/>
                <w:color w:val="auto"/>
                <w:sz w:val="21"/>
              </w:rPr>
              <w:t>造成严重后果</w:t>
            </w:r>
          </w:p>
          <w:p w14:paraId="24CBB6CC">
            <w:pPr>
              <w:pStyle w:val="8"/>
              <w:spacing w:before="4" w:line="250" w:lineRule="exact"/>
              <w:ind w:left="162"/>
              <w:jc w:val="both"/>
              <w:rPr>
                <w:b/>
                <w:color w:val="auto"/>
                <w:sz w:val="21"/>
              </w:rPr>
            </w:pPr>
            <w:r>
              <w:rPr>
                <w:b/>
                <w:color w:val="auto"/>
                <w:w w:val="100"/>
                <w:sz w:val="21"/>
              </w:rPr>
              <w:t>的</w:t>
            </w:r>
          </w:p>
        </w:tc>
        <w:tc>
          <w:tcPr>
            <w:tcW w:w="2715" w:type="dxa"/>
            <w:vAlign w:val="top"/>
          </w:tcPr>
          <w:p w14:paraId="0FF0FCA1">
            <w:pPr>
              <w:pStyle w:val="8"/>
              <w:jc w:val="both"/>
              <w:rPr>
                <w:rFonts w:ascii="Times New Roman"/>
                <w:color w:val="auto"/>
                <w:sz w:val="20"/>
              </w:rPr>
            </w:pPr>
          </w:p>
        </w:tc>
        <w:tc>
          <w:tcPr>
            <w:tcW w:w="2714" w:type="dxa"/>
            <w:vAlign w:val="top"/>
          </w:tcPr>
          <w:p w14:paraId="0BE1D717">
            <w:pPr>
              <w:pStyle w:val="8"/>
              <w:spacing w:before="4" w:line="242" w:lineRule="auto"/>
              <w:ind w:left="107" w:right="72"/>
              <w:jc w:val="both"/>
              <w:rPr>
                <w:rFonts w:ascii="仿宋"/>
                <w:color w:val="auto"/>
                <w:spacing w:val="-4"/>
                <w:sz w:val="21"/>
              </w:rPr>
            </w:pPr>
          </w:p>
          <w:p w14:paraId="6AFD6678">
            <w:pPr>
              <w:jc w:val="both"/>
              <w:rPr>
                <w:color w:val="auto"/>
                <w:spacing w:val="-4"/>
                <w:sz w:val="21"/>
              </w:rPr>
            </w:pPr>
            <w:r>
              <w:rPr>
                <w:rFonts w:ascii="仿宋" w:hAnsi="仿宋" w:eastAsia="仿宋" w:cs="仿宋"/>
                <w:color w:val="auto"/>
                <w:spacing w:val="-4"/>
                <w:kern w:val="2"/>
                <w:sz w:val="21"/>
                <w:szCs w:val="22"/>
                <w:lang w:val="zh-CN" w:eastAsia="zh-CN" w:bidi="zh-CN"/>
              </w:rPr>
              <w:t>对临床试验申办者处 30 万元以上 51 万元以下罚款。对违法单位的法定代表人、主要负责人、直接负责的主管人员和其他责任人员并处所获收入 0.3 倍以上1.1 倍以下罚款。</w:t>
            </w:r>
          </w:p>
        </w:tc>
        <w:tc>
          <w:tcPr>
            <w:tcW w:w="2717" w:type="dxa"/>
            <w:vAlign w:val="top"/>
          </w:tcPr>
          <w:p w14:paraId="1E5B3916">
            <w:pPr>
              <w:pStyle w:val="8"/>
              <w:spacing w:before="4" w:line="242" w:lineRule="auto"/>
              <w:ind w:left="107" w:right="72"/>
              <w:jc w:val="both"/>
              <w:rPr>
                <w:rFonts w:ascii="仿宋"/>
                <w:color w:val="auto"/>
                <w:spacing w:val="-4"/>
                <w:sz w:val="21"/>
              </w:rPr>
            </w:pPr>
          </w:p>
          <w:p w14:paraId="3F16C1FA">
            <w:pPr>
              <w:jc w:val="both"/>
              <w:rPr>
                <w:color w:val="auto"/>
                <w:spacing w:val="-4"/>
                <w:sz w:val="21"/>
              </w:rPr>
            </w:pPr>
            <w:r>
              <w:rPr>
                <w:rFonts w:ascii="仿宋" w:hAnsi="仿宋" w:eastAsia="仿宋" w:cs="仿宋"/>
                <w:color w:val="auto"/>
                <w:spacing w:val="-4"/>
                <w:kern w:val="2"/>
                <w:sz w:val="21"/>
                <w:szCs w:val="22"/>
                <w:lang w:val="zh-CN" w:eastAsia="zh-CN" w:bidi="zh-CN"/>
              </w:rPr>
              <w:t>对临床试验申办者处 51 万元以上 79 万元以下罚款。对违法单位的法定代表人、主要负责人、直接负责的主管人员和其他责任人员并处所获收入 1.1 倍以上2.2 倍以下罚款。</w:t>
            </w:r>
          </w:p>
        </w:tc>
        <w:tc>
          <w:tcPr>
            <w:tcW w:w="3900" w:type="dxa"/>
            <w:vAlign w:val="top"/>
          </w:tcPr>
          <w:p w14:paraId="3BCDB238">
            <w:pPr>
              <w:pStyle w:val="8"/>
              <w:spacing w:before="4" w:line="242" w:lineRule="auto"/>
              <w:ind w:left="107" w:right="72"/>
              <w:jc w:val="both"/>
              <w:rPr>
                <w:rFonts w:ascii="仿宋"/>
                <w:color w:val="auto"/>
                <w:spacing w:val="-4"/>
                <w:sz w:val="21"/>
              </w:rPr>
            </w:pPr>
          </w:p>
          <w:p w14:paraId="5D8E334F">
            <w:pPr>
              <w:pStyle w:val="8"/>
              <w:spacing w:before="4" w:line="242" w:lineRule="auto"/>
              <w:ind w:left="107" w:right="72"/>
              <w:jc w:val="both"/>
              <w:rPr>
                <w:color w:val="auto"/>
                <w:spacing w:val="-4"/>
                <w:sz w:val="21"/>
              </w:rPr>
            </w:pPr>
            <w:r>
              <w:rPr>
                <w:color w:val="auto"/>
                <w:spacing w:val="-4"/>
                <w:sz w:val="21"/>
              </w:rPr>
              <w:t>对临床试验申办者处 79 万元以上 100 万元以下罚款。对违法单位的法定代表人、主要负责人、直接负责的主管人员和其他责任人员并处所获收入2.2 倍以上3 倍以下罚款。</w:t>
            </w:r>
          </w:p>
        </w:tc>
      </w:tr>
    </w:tbl>
    <w:p w14:paraId="5DDC35B6">
      <w:pPr>
        <w:spacing w:after="0" w:line="242" w:lineRule="auto"/>
        <w:jc w:val="both"/>
        <w:rPr>
          <w:color w:val="auto"/>
          <w:sz w:val="21"/>
        </w:rPr>
        <w:sectPr>
          <w:pgSz w:w="16840" w:h="11910" w:orient="landscape"/>
          <w:pgMar w:top="1100" w:right="1400" w:bottom="1760" w:left="1400" w:header="0" w:footer="1572" w:gutter="0"/>
          <w:pgNumType w:fmt="numberInDash"/>
          <w:cols w:space="720" w:num="1"/>
        </w:sectPr>
      </w:pPr>
    </w:p>
    <w:p w14:paraId="4B0C21FF">
      <w:pPr>
        <w:pStyle w:val="4"/>
        <w:spacing w:before="2"/>
        <w:jc w:val="both"/>
        <w:rPr>
          <w:rFonts w:ascii="Times New Roman"/>
          <w:color w:val="auto"/>
          <w:sz w:val="26"/>
        </w:rPr>
      </w:pPr>
    </w:p>
    <w:tbl>
      <w:tblPr>
        <w:tblStyle w:val="6"/>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179"/>
        <w:gridCol w:w="2715"/>
        <w:gridCol w:w="2714"/>
        <w:gridCol w:w="2717"/>
        <w:gridCol w:w="3900"/>
      </w:tblGrid>
      <w:tr w14:paraId="36FA0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7" w:type="dxa"/>
            <w:vMerge w:val="restart"/>
            <w:vAlign w:val="top"/>
          </w:tcPr>
          <w:p w14:paraId="34A79D10">
            <w:pPr>
              <w:pStyle w:val="8"/>
              <w:jc w:val="both"/>
              <w:rPr>
                <w:rFonts w:ascii="Times New Roman"/>
                <w:color w:val="auto"/>
                <w:sz w:val="20"/>
              </w:rPr>
            </w:pPr>
          </w:p>
          <w:p w14:paraId="29C07B10">
            <w:pPr>
              <w:pStyle w:val="8"/>
              <w:jc w:val="both"/>
              <w:rPr>
                <w:rFonts w:ascii="Times New Roman"/>
                <w:color w:val="auto"/>
                <w:sz w:val="20"/>
              </w:rPr>
            </w:pPr>
          </w:p>
          <w:p w14:paraId="02D765B4">
            <w:pPr>
              <w:pStyle w:val="8"/>
              <w:jc w:val="both"/>
              <w:rPr>
                <w:rFonts w:ascii="Times New Roman"/>
                <w:color w:val="auto"/>
                <w:sz w:val="20"/>
              </w:rPr>
            </w:pPr>
          </w:p>
          <w:p w14:paraId="4A0AD9E5">
            <w:pPr>
              <w:pStyle w:val="8"/>
              <w:jc w:val="both"/>
              <w:rPr>
                <w:rFonts w:ascii="Times New Roman"/>
                <w:color w:val="auto"/>
                <w:sz w:val="20"/>
              </w:rPr>
            </w:pPr>
          </w:p>
          <w:p w14:paraId="48A0A905">
            <w:pPr>
              <w:pStyle w:val="8"/>
              <w:jc w:val="both"/>
              <w:rPr>
                <w:rFonts w:ascii="Times New Roman"/>
                <w:color w:val="auto"/>
                <w:sz w:val="20"/>
              </w:rPr>
            </w:pPr>
          </w:p>
          <w:p w14:paraId="33C5AB94">
            <w:pPr>
              <w:pStyle w:val="8"/>
              <w:jc w:val="both"/>
              <w:rPr>
                <w:rFonts w:ascii="Times New Roman"/>
                <w:color w:val="auto"/>
                <w:sz w:val="20"/>
              </w:rPr>
            </w:pPr>
          </w:p>
          <w:p w14:paraId="08E8E499">
            <w:pPr>
              <w:pStyle w:val="8"/>
              <w:jc w:val="both"/>
              <w:rPr>
                <w:rFonts w:ascii="Times New Roman"/>
                <w:color w:val="auto"/>
                <w:sz w:val="20"/>
              </w:rPr>
            </w:pPr>
          </w:p>
          <w:p w14:paraId="174D5EE8">
            <w:pPr>
              <w:pStyle w:val="8"/>
              <w:jc w:val="both"/>
              <w:rPr>
                <w:rFonts w:ascii="Times New Roman"/>
                <w:color w:val="auto"/>
                <w:sz w:val="20"/>
              </w:rPr>
            </w:pPr>
          </w:p>
          <w:p w14:paraId="429CB274">
            <w:pPr>
              <w:pStyle w:val="8"/>
              <w:jc w:val="both"/>
              <w:rPr>
                <w:rFonts w:ascii="Times New Roman"/>
                <w:color w:val="auto"/>
                <w:sz w:val="20"/>
              </w:rPr>
            </w:pPr>
          </w:p>
          <w:p w14:paraId="22AFA41C">
            <w:pPr>
              <w:pStyle w:val="8"/>
              <w:jc w:val="both"/>
              <w:rPr>
                <w:rFonts w:ascii="Times New Roman"/>
                <w:color w:val="auto"/>
                <w:sz w:val="20"/>
              </w:rPr>
            </w:pPr>
          </w:p>
          <w:p w14:paraId="04595776">
            <w:pPr>
              <w:pStyle w:val="8"/>
              <w:jc w:val="both"/>
              <w:rPr>
                <w:rFonts w:ascii="Times New Roman"/>
                <w:color w:val="auto"/>
                <w:sz w:val="20"/>
              </w:rPr>
            </w:pPr>
          </w:p>
          <w:p w14:paraId="5799506D">
            <w:pPr>
              <w:pStyle w:val="8"/>
              <w:jc w:val="both"/>
              <w:rPr>
                <w:rFonts w:ascii="Times New Roman"/>
                <w:color w:val="auto"/>
                <w:sz w:val="20"/>
              </w:rPr>
            </w:pPr>
          </w:p>
          <w:p w14:paraId="64970816">
            <w:pPr>
              <w:pStyle w:val="8"/>
              <w:jc w:val="both"/>
              <w:rPr>
                <w:rFonts w:ascii="Times New Roman"/>
                <w:color w:val="auto"/>
                <w:sz w:val="20"/>
              </w:rPr>
            </w:pPr>
          </w:p>
          <w:p w14:paraId="1A81C460">
            <w:pPr>
              <w:pStyle w:val="8"/>
              <w:jc w:val="both"/>
              <w:rPr>
                <w:rFonts w:ascii="Times New Roman"/>
                <w:color w:val="auto"/>
                <w:sz w:val="20"/>
              </w:rPr>
            </w:pPr>
          </w:p>
          <w:p w14:paraId="520937DA">
            <w:pPr>
              <w:pStyle w:val="8"/>
              <w:jc w:val="both"/>
              <w:rPr>
                <w:rFonts w:ascii="Times New Roman"/>
                <w:color w:val="auto"/>
                <w:sz w:val="20"/>
              </w:rPr>
            </w:pPr>
          </w:p>
          <w:p w14:paraId="418B4B63">
            <w:pPr>
              <w:pStyle w:val="8"/>
              <w:spacing w:before="6"/>
              <w:jc w:val="both"/>
              <w:rPr>
                <w:rFonts w:ascii="Times New Roman"/>
                <w:color w:val="auto"/>
                <w:sz w:val="16"/>
              </w:rPr>
            </w:pPr>
          </w:p>
          <w:p w14:paraId="3BF869AF">
            <w:pPr>
              <w:pStyle w:val="8"/>
              <w:ind w:left="175"/>
              <w:jc w:val="both"/>
              <w:rPr>
                <w:b/>
                <w:color w:val="auto"/>
                <w:sz w:val="21"/>
              </w:rPr>
            </w:pPr>
            <w:r>
              <w:rPr>
                <w:b/>
                <w:color w:val="auto"/>
                <w:sz w:val="21"/>
              </w:rPr>
              <w:t>13</w:t>
            </w:r>
          </w:p>
        </w:tc>
        <w:tc>
          <w:tcPr>
            <w:tcW w:w="1179" w:type="dxa"/>
            <w:vAlign w:val="top"/>
          </w:tcPr>
          <w:p w14:paraId="60528F04">
            <w:pPr>
              <w:pStyle w:val="8"/>
              <w:spacing w:before="3"/>
              <w:jc w:val="both"/>
              <w:rPr>
                <w:rFonts w:ascii="Times New Roman"/>
                <w:color w:val="auto"/>
                <w:sz w:val="20"/>
              </w:rPr>
            </w:pPr>
          </w:p>
          <w:p w14:paraId="6CE1C98B">
            <w:pPr>
              <w:pStyle w:val="8"/>
              <w:spacing w:before="1"/>
              <w:ind w:left="145" w:right="139"/>
              <w:jc w:val="both"/>
              <w:rPr>
                <w:b/>
                <w:color w:val="auto"/>
                <w:sz w:val="21"/>
              </w:rPr>
            </w:pPr>
            <w:r>
              <w:rPr>
                <w:b/>
                <w:color w:val="auto"/>
                <w:sz w:val="21"/>
              </w:rPr>
              <w:t>违法行为</w:t>
            </w:r>
          </w:p>
        </w:tc>
        <w:tc>
          <w:tcPr>
            <w:tcW w:w="12046" w:type="dxa"/>
            <w:gridSpan w:val="4"/>
            <w:vAlign w:val="top"/>
          </w:tcPr>
          <w:p w14:paraId="7995FEC4">
            <w:pPr>
              <w:pStyle w:val="8"/>
              <w:spacing w:before="3"/>
              <w:jc w:val="both"/>
              <w:rPr>
                <w:rFonts w:ascii="Times New Roman"/>
                <w:color w:val="auto"/>
                <w:sz w:val="20"/>
              </w:rPr>
            </w:pPr>
          </w:p>
          <w:p w14:paraId="70B78975">
            <w:pPr>
              <w:pStyle w:val="8"/>
              <w:spacing w:before="1"/>
              <w:ind w:left="527"/>
              <w:jc w:val="both"/>
              <w:rPr>
                <w:color w:val="auto"/>
                <w:sz w:val="21"/>
              </w:rPr>
            </w:pPr>
            <w:r>
              <w:rPr>
                <w:color w:val="auto"/>
                <w:sz w:val="21"/>
              </w:rPr>
              <w:t>医疗器械临床试验机构开展医疗器械临床试验未遵守临床试验质量管理规范的</w:t>
            </w:r>
          </w:p>
        </w:tc>
      </w:tr>
      <w:tr w14:paraId="3C746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3" w:hRule="atLeast"/>
        </w:trPr>
        <w:tc>
          <w:tcPr>
            <w:tcW w:w="567" w:type="dxa"/>
            <w:vMerge w:val="continue"/>
            <w:tcBorders>
              <w:top w:val="nil"/>
            </w:tcBorders>
            <w:vAlign w:val="top"/>
          </w:tcPr>
          <w:p w14:paraId="111FB78B">
            <w:pPr>
              <w:jc w:val="both"/>
              <w:rPr>
                <w:color w:val="auto"/>
                <w:sz w:val="2"/>
                <w:szCs w:val="2"/>
              </w:rPr>
            </w:pPr>
          </w:p>
        </w:tc>
        <w:tc>
          <w:tcPr>
            <w:tcW w:w="1179" w:type="dxa"/>
            <w:vAlign w:val="top"/>
          </w:tcPr>
          <w:p w14:paraId="37A48A95">
            <w:pPr>
              <w:pStyle w:val="8"/>
              <w:jc w:val="both"/>
              <w:rPr>
                <w:rFonts w:ascii="Times New Roman"/>
                <w:color w:val="auto"/>
                <w:sz w:val="20"/>
              </w:rPr>
            </w:pPr>
          </w:p>
          <w:p w14:paraId="59DA5296">
            <w:pPr>
              <w:pStyle w:val="8"/>
              <w:jc w:val="both"/>
              <w:rPr>
                <w:rFonts w:ascii="Times New Roman"/>
                <w:color w:val="auto"/>
                <w:sz w:val="20"/>
              </w:rPr>
            </w:pPr>
          </w:p>
          <w:p w14:paraId="0CE18BAA">
            <w:pPr>
              <w:pStyle w:val="8"/>
              <w:jc w:val="both"/>
              <w:rPr>
                <w:rFonts w:ascii="Times New Roman"/>
                <w:color w:val="auto"/>
                <w:sz w:val="20"/>
              </w:rPr>
            </w:pPr>
          </w:p>
          <w:p w14:paraId="2F01E602">
            <w:pPr>
              <w:pStyle w:val="8"/>
              <w:jc w:val="both"/>
              <w:rPr>
                <w:rFonts w:ascii="Times New Roman"/>
                <w:color w:val="auto"/>
                <w:sz w:val="20"/>
              </w:rPr>
            </w:pPr>
          </w:p>
          <w:p w14:paraId="5DE26E63">
            <w:pPr>
              <w:pStyle w:val="8"/>
              <w:spacing w:before="137"/>
              <w:ind w:left="145" w:right="139"/>
              <w:jc w:val="both"/>
              <w:rPr>
                <w:b/>
                <w:color w:val="auto"/>
                <w:sz w:val="21"/>
              </w:rPr>
            </w:pPr>
            <w:r>
              <w:rPr>
                <w:b/>
                <w:color w:val="auto"/>
                <w:sz w:val="21"/>
              </w:rPr>
              <w:t>处罚依据</w:t>
            </w:r>
          </w:p>
        </w:tc>
        <w:tc>
          <w:tcPr>
            <w:tcW w:w="12046" w:type="dxa"/>
            <w:gridSpan w:val="4"/>
            <w:vAlign w:val="top"/>
          </w:tcPr>
          <w:p w14:paraId="34EA3D1A">
            <w:pPr>
              <w:pStyle w:val="8"/>
              <w:jc w:val="both"/>
              <w:rPr>
                <w:rFonts w:ascii="Times New Roman"/>
                <w:color w:val="auto"/>
                <w:sz w:val="20"/>
              </w:rPr>
            </w:pPr>
          </w:p>
          <w:p w14:paraId="6D41224C">
            <w:pPr>
              <w:pStyle w:val="8"/>
              <w:jc w:val="both"/>
              <w:rPr>
                <w:rFonts w:ascii="Times New Roman"/>
                <w:color w:val="auto"/>
                <w:sz w:val="20"/>
              </w:rPr>
            </w:pPr>
          </w:p>
          <w:p w14:paraId="5F626817">
            <w:pPr>
              <w:pStyle w:val="8"/>
              <w:jc w:val="both"/>
              <w:rPr>
                <w:rFonts w:ascii="Times New Roman"/>
                <w:color w:val="auto"/>
                <w:sz w:val="20"/>
              </w:rPr>
            </w:pPr>
          </w:p>
          <w:p w14:paraId="72F082DE">
            <w:pPr>
              <w:pStyle w:val="8"/>
              <w:jc w:val="both"/>
              <w:rPr>
                <w:rFonts w:ascii="Times New Roman"/>
                <w:color w:val="auto"/>
                <w:sz w:val="20"/>
              </w:rPr>
            </w:pPr>
          </w:p>
          <w:p w14:paraId="11F2FCF1">
            <w:pPr>
              <w:pStyle w:val="8"/>
              <w:ind w:left="527"/>
              <w:jc w:val="both"/>
              <w:rPr>
                <w:color w:val="auto"/>
                <w:sz w:val="21"/>
              </w:rPr>
            </w:pPr>
            <w:r>
              <w:rPr>
                <w:color w:val="auto"/>
                <w:sz w:val="21"/>
              </w:rPr>
              <w:t>根据《医疗器械监督管理条例》第九十四条规定，由负责药品监督管理的部门责令改正或者立即停止临床试验，处 5 万元以</w:t>
            </w:r>
          </w:p>
          <w:p w14:paraId="4FAFC772">
            <w:pPr>
              <w:pStyle w:val="8"/>
              <w:spacing w:before="5"/>
              <w:ind w:left="107"/>
              <w:jc w:val="both"/>
              <w:rPr>
                <w:color w:val="auto"/>
                <w:sz w:val="21"/>
              </w:rPr>
            </w:pPr>
            <w:r>
              <w:rPr>
                <w:color w:val="auto"/>
                <w:sz w:val="21"/>
              </w:rPr>
              <w:t>上 10 万元以下罚款。</w:t>
            </w:r>
          </w:p>
        </w:tc>
      </w:tr>
      <w:tr w14:paraId="1E4DA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7" w:type="dxa"/>
            <w:vMerge w:val="continue"/>
            <w:tcBorders>
              <w:top w:val="nil"/>
            </w:tcBorders>
            <w:vAlign w:val="top"/>
          </w:tcPr>
          <w:p w14:paraId="41C39DCA">
            <w:pPr>
              <w:jc w:val="both"/>
              <w:rPr>
                <w:color w:val="auto"/>
                <w:sz w:val="2"/>
                <w:szCs w:val="2"/>
              </w:rPr>
            </w:pPr>
          </w:p>
        </w:tc>
        <w:tc>
          <w:tcPr>
            <w:tcW w:w="1179" w:type="dxa"/>
            <w:vAlign w:val="top"/>
          </w:tcPr>
          <w:p w14:paraId="35164339">
            <w:pPr>
              <w:pStyle w:val="8"/>
              <w:spacing w:before="147"/>
              <w:ind w:left="145" w:right="139"/>
              <w:jc w:val="both"/>
              <w:rPr>
                <w:b/>
                <w:color w:val="auto"/>
                <w:sz w:val="21"/>
              </w:rPr>
            </w:pPr>
            <w:r>
              <w:rPr>
                <w:b/>
                <w:color w:val="auto"/>
                <w:sz w:val="21"/>
              </w:rPr>
              <w:t>裁量等级</w:t>
            </w:r>
          </w:p>
        </w:tc>
        <w:tc>
          <w:tcPr>
            <w:tcW w:w="2715" w:type="dxa"/>
            <w:vAlign w:val="top"/>
          </w:tcPr>
          <w:p w14:paraId="0C97E5EE">
            <w:pPr>
              <w:pStyle w:val="8"/>
              <w:spacing w:before="147"/>
              <w:ind w:left="107"/>
              <w:jc w:val="both"/>
              <w:rPr>
                <w:b/>
                <w:color w:val="auto"/>
                <w:sz w:val="21"/>
              </w:rPr>
            </w:pPr>
            <w:r>
              <w:rPr>
                <w:b/>
                <w:color w:val="auto"/>
                <w:sz w:val="21"/>
              </w:rPr>
              <w:t>减轻</w:t>
            </w:r>
          </w:p>
        </w:tc>
        <w:tc>
          <w:tcPr>
            <w:tcW w:w="2714" w:type="dxa"/>
            <w:vAlign w:val="top"/>
          </w:tcPr>
          <w:p w14:paraId="7C3AA6C5">
            <w:pPr>
              <w:pStyle w:val="8"/>
              <w:spacing w:before="147"/>
              <w:ind w:left="107"/>
              <w:jc w:val="both"/>
              <w:rPr>
                <w:b/>
                <w:color w:val="auto"/>
                <w:sz w:val="21"/>
              </w:rPr>
            </w:pPr>
            <w:r>
              <w:rPr>
                <w:b/>
                <w:color w:val="auto"/>
                <w:sz w:val="21"/>
              </w:rPr>
              <w:t>从轻</w:t>
            </w:r>
          </w:p>
        </w:tc>
        <w:tc>
          <w:tcPr>
            <w:tcW w:w="2717" w:type="dxa"/>
            <w:vAlign w:val="top"/>
          </w:tcPr>
          <w:p w14:paraId="544B69C8">
            <w:pPr>
              <w:pStyle w:val="8"/>
              <w:spacing w:before="147"/>
              <w:ind w:left="107"/>
              <w:jc w:val="both"/>
              <w:rPr>
                <w:b/>
                <w:color w:val="auto"/>
                <w:sz w:val="21"/>
              </w:rPr>
            </w:pPr>
            <w:r>
              <w:rPr>
                <w:b/>
                <w:color w:val="auto"/>
                <w:sz w:val="21"/>
              </w:rPr>
              <w:t>一般</w:t>
            </w:r>
          </w:p>
        </w:tc>
        <w:tc>
          <w:tcPr>
            <w:tcW w:w="3900" w:type="dxa"/>
            <w:vAlign w:val="top"/>
          </w:tcPr>
          <w:p w14:paraId="7B60C2A2">
            <w:pPr>
              <w:pStyle w:val="8"/>
              <w:spacing w:before="147"/>
              <w:ind w:left="105"/>
              <w:jc w:val="both"/>
              <w:rPr>
                <w:b/>
                <w:color w:val="auto"/>
                <w:sz w:val="21"/>
              </w:rPr>
            </w:pPr>
            <w:r>
              <w:rPr>
                <w:b/>
                <w:color w:val="auto"/>
                <w:sz w:val="21"/>
              </w:rPr>
              <w:t>从重</w:t>
            </w:r>
          </w:p>
        </w:tc>
      </w:tr>
      <w:tr w14:paraId="0222B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567" w:type="dxa"/>
            <w:vMerge w:val="continue"/>
            <w:tcBorders>
              <w:top w:val="nil"/>
            </w:tcBorders>
            <w:vAlign w:val="top"/>
          </w:tcPr>
          <w:p w14:paraId="5ACC763F">
            <w:pPr>
              <w:jc w:val="both"/>
              <w:rPr>
                <w:color w:val="auto"/>
                <w:sz w:val="2"/>
                <w:szCs w:val="2"/>
              </w:rPr>
            </w:pPr>
          </w:p>
        </w:tc>
        <w:tc>
          <w:tcPr>
            <w:tcW w:w="1179" w:type="dxa"/>
            <w:vAlign w:val="top"/>
          </w:tcPr>
          <w:p w14:paraId="01C058C2">
            <w:pPr>
              <w:pStyle w:val="8"/>
              <w:jc w:val="both"/>
              <w:rPr>
                <w:rFonts w:ascii="Times New Roman"/>
                <w:color w:val="auto"/>
                <w:sz w:val="20"/>
              </w:rPr>
            </w:pPr>
          </w:p>
          <w:p w14:paraId="594B7973">
            <w:pPr>
              <w:pStyle w:val="8"/>
              <w:spacing w:before="2"/>
              <w:jc w:val="both"/>
              <w:rPr>
                <w:rFonts w:ascii="Times New Roman"/>
                <w:color w:val="auto"/>
                <w:sz w:val="16"/>
              </w:rPr>
            </w:pPr>
          </w:p>
          <w:p w14:paraId="5A43B1DB">
            <w:pPr>
              <w:pStyle w:val="8"/>
              <w:ind w:left="145" w:right="139"/>
              <w:jc w:val="both"/>
              <w:rPr>
                <w:b/>
                <w:color w:val="auto"/>
                <w:sz w:val="21"/>
              </w:rPr>
            </w:pPr>
            <w:r>
              <w:rPr>
                <w:b/>
                <w:color w:val="auto"/>
                <w:sz w:val="21"/>
              </w:rPr>
              <w:t>裁量情节</w:t>
            </w:r>
          </w:p>
        </w:tc>
        <w:tc>
          <w:tcPr>
            <w:tcW w:w="2715" w:type="dxa"/>
            <w:vAlign w:val="top"/>
          </w:tcPr>
          <w:p w14:paraId="7958EE99">
            <w:pPr>
              <w:pStyle w:val="8"/>
              <w:spacing w:before="3"/>
              <w:jc w:val="both"/>
              <w:rPr>
                <w:rFonts w:ascii="Times New Roman"/>
                <w:color w:val="auto"/>
                <w:sz w:val="24"/>
              </w:rPr>
            </w:pPr>
          </w:p>
          <w:p w14:paraId="1E1EFBD4">
            <w:pPr>
              <w:pStyle w:val="8"/>
              <w:spacing w:line="244" w:lineRule="auto"/>
              <w:ind w:left="107" w:right="98"/>
              <w:jc w:val="both"/>
              <w:rPr>
                <w:color w:val="auto"/>
                <w:sz w:val="21"/>
              </w:rPr>
            </w:pPr>
            <w:r>
              <w:rPr>
                <w:color w:val="auto"/>
                <w:sz w:val="21"/>
              </w:rPr>
              <w:t>符合裁量规定减轻行政处罚情形的。</w:t>
            </w:r>
          </w:p>
        </w:tc>
        <w:tc>
          <w:tcPr>
            <w:tcW w:w="2714" w:type="dxa"/>
            <w:vAlign w:val="top"/>
          </w:tcPr>
          <w:p w14:paraId="1CEC5695">
            <w:pPr>
              <w:pStyle w:val="8"/>
              <w:spacing w:before="3"/>
              <w:jc w:val="both"/>
              <w:rPr>
                <w:rFonts w:ascii="Times New Roman"/>
                <w:color w:val="auto"/>
                <w:sz w:val="24"/>
              </w:rPr>
            </w:pPr>
          </w:p>
          <w:p w14:paraId="6D35365E">
            <w:pPr>
              <w:pStyle w:val="8"/>
              <w:spacing w:line="244" w:lineRule="auto"/>
              <w:ind w:left="107" w:right="95"/>
              <w:jc w:val="both"/>
              <w:rPr>
                <w:color w:val="auto"/>
                <w:sz w:val="21"/>
              </w:rPr>
            </w:pPr>
            <w:r>
              <w:rPr>
                <w:color w:val="auto"/>
                <w:sz w:val="21"/>
              </w:rPr>
              <w:t>符合裁量规定从轻行政处罚情形的。</w:t>
            </w:r>
          </w:p>
        </w:tc>
        <w:tc>
          <w:tcPr>
            <w:tcW w:w="2717" w:type="dxa"/>
            <w:vAlign w:val="top"/>
          </w:tcPr>
          <w:p w14:paraId="040252A6">
            <w:pPr>
              <w:pStyle w:val="8"/>
              <w:spacing w:before="3"/>
              <w:jc w:val="both"/>
              <w:rPr>
                <w:rFonts w:ascii="Times New Roman"/>
                <w:color w:val="auto"/>
                <w:sz w:val="24"/>
              </w:rPr>
            </w:pPr>
          </w:p>
          <w:p w14:paraId="31256065">
            <w:pPr>
              <w:pStyle w:val="8"/>
              <w:spacing w:line="244" w:lineRule="auto"/>
              <w:ind w:left="107" w:right="98"/>
              <w:jc w:val="both"/>
              <w:rPr>
                <w:color w:val="auto"/>
                <w:sz w:val="21"/>
              </w:rPr>
            </w:pPr>
            <w:r>
              <w:rPr>
                <w:color w:val="auto"/>
                <w:sz w:val="21"/>
              </w:rPr>
              <w:t>符合裁量规定一般行政处罚情形的。</w:t>
            </w:r>
          </w:p>
        </w:tc>
        <w:tc>
          <w:tcPr>
            <w:tcW w:w="3900" w:type="dxa"/>
            <w:vAlign w:val="top"/>
          </w:tcPr>
          <w:p w14:paraId="0AD620A3">
            <w:pPr>
              <w:pStyle w:val="8"/>
              <w:jc w:val="both"/>
              <w:rPr>
                <w:rFonts w:ascii="Times New Roman"/>
                <w:color w:val="auto"/>
                <w:sz w:val="20"/>
              </w:rPr>
            </w:pPr>
          </w:p>
          <w:p w14:paraId="0A895413">
            <w:pPr>
              <w:pStyle w:val="8"/>
              <w:spacing w:before="2"/>
              <w:jc w:val="both"/>
              <w:rPr>
                <w:rFonts w:ascii="Times New Roman"/>
                <w:color w:val="auto"/>
                <w:sz w:val="16"/>
              </w:rPr>
            </w:pPr>
          </w:p>
          <w:p w14:paraId="39D91FA8">
            <w:pPr>
              <w:pStyle w:val="8"/>
              <w:ind w:left="105"/>
              <w:jc w:val="both"/>
              <w:rPr>
                <w:color w:val="auto"/>
                <w:sz w:val="21"/>
              </w:rPr>
            </w:pPr>
            <w:r>
              <w:rPr>
                <w:color w:val="auto"/>
                <w:sz w:val="21"/>
              </w:rPr>
              <w:t>符合裁量规定从重行政处罚情形的。</w:t>
            </w:r>
          </w:p>
        </w:tc>
      </w:tr>
      <w:tr w14:paraId="68A6A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4" w:hRule="atLeast"/>
        </w:trPr>
        <w:tc>
          <w:tcPr>
            <w:tcW w:w="567" w:type="dxa"/>
            <w:vMerge w:val="continue"/>
            <w:tcBorders>
              <w:top w:val="nil"/>
            </w:tcBorders>
            <w:vAlign w:val="top"/>
          </w:tcPr>
          <w:p w14:paraId="2CF3F44E">
            <w:pPr>
              <w:jc w:val="both"/>
              <w:rPr>
                <w:color w:val="auto"/>
                <w:sz w:val="2"/>
                <w:szCs w:val="2"/>
              </w:rPr>
            </w:pPr>
          </w:p>
        </w:tc>
        <w:tc>
          <w:tcPr>
            <w:tcW w:w="1179" w:type="dxa"/>
            <w:vAlign w:val="top"/>
          </w:tcPr>
          <w:p w14:paraId="4D8962DF">
            <w:pPr>
              <w:pStyle w:val="8"/>
              <w:jc w:val="both"/>
              <w:rPr>
                <w:rFonts w:ascii="Times New Roman"/>
                <w:color w:val="auto"/>
                <w:sz w:val="20"/>
              </w:rPr>
            </w:pPr>
          </w:p>
          <w:p w14:paraId="28C6B03D">
            <w:pPr>
              <w:pStyle w:val="8"/>
              <w:jc w:val="both"/>
              <w:rPr>
                <w:rFonts w:ascii="Times New Roman"/>
                <w:color w:val="auto"/>
                <w:sz w:val="20"/>
              </w:rPr>
            </w:pPr>
          </w:p>
          <w:p w14:paraId="34F13439">
            <w:pPr>
              <w:pStyle w:val="8"/>
              <w:jc w:val="both"/>
              <w:rPr>
                <w:rFonts w:ascii="Times New Roman"/>
                <w:color w:val="auto"/>
                <w:sz w:val="20"/>
              </w:rPr>
            </w:pPr>
          </w:p>
          <w:p w14:paraId="2EEFA7F8">
            <w:pPr>
              <w:pStyle w:val="8"/>
              <w:jc w:val="both"/>
              <w:rPr>
                <w:rFonts w:ascii="Times New Roman"/>
                <w:color w:val="auto"/>
                <w:sz w:val="20"/>
              </w:rPr>
            </w:pPr>
          </w:p>
          <w:p w14:paraId="46D363C2">
            <w:pPr>
              <w:pStyle w:val="8"/>
              <w:spacing w:before="8"/>
              <w:jc w:val="both"/>
              <w:rPr>
                <w:rFonts w:ascii="Times New Roman"/>
                <w:color w:val="auto"/>
                <w:sz w:val="26"/>
              </w:rPr>
            </w:pPr>
          </w:p>
          <w:p w14:paraId="5A1E15C4">
            <w:pPr>
              <w:pStyle w:val="8"/>
              <w:ind w:left="145" w:right="139"/>
              <w:jc w:val="both"/>
              <w:rPr>
                <w:b/>
                <w:color w:val="auto"/>
                <w:sz w:val="21"/>
              </w:rPr>
            </w:pPr>
            <w:r>
              <w:rPr>
                <w:b/>
                <w:color w:val="auto"/>
                <w:sz w:val="21"/>
              </w:rPr>
              <w:t>裁量基准</w:t>
            </w:r>
          </w:p>
        </w:tc>
        <w:tc>
          <w:tcPr>
            <w:tcW w:w="2715" w:type="dxa"/>
            <w:vAlign w:val="top"/>
          </w:tcPr>
          <w:p w14:paraId="6ED605FA">
            <w:pPr>
              <w:pStyle w:val="8"/>
              <w:jc w:val="both"/>
              <w:rPr>
                <w:rFonts w:ascii="Times New Roman"/>
                <w:color w:val="auto"/>
                <w:sz w:val="20"/>
              </w:rPr>
            </w:pPr>
          </w:p>
          <w:p w14:paraId="58C76042">
            <w:pPr>
              <w:pStyle w:val="8"/>
              <w:jc w:val="both"/>
              <w:rPr>
                <w:rFonts w:ascii="Times New Roman"/>
                <w:color w:val="auto"/>
                <w:sz w:val="20"/>
              </w:rPr>
            </w:pPr>
          </w:p>
          <w:p w14:paraId="7C315DFF">
            <w:pPr>
              <w:pStyle w:val="8"/>
              <w:jc w:val="both"/>
              <w:rPr>
                <w:rFonts w:ascii="Times New Roman"/>
                <w:color w:val="auto"/>
                <w:sz w:val="20"/>
              </w:rPr>
            </w:pPr>
          </w:p>
          <w:p w14:paraId="584CCC59">
            <w:pPr>
              <w:pStyle w:val="8"/>
              <w:jc w:val="both"/>
              <w:rPr>
                <w:rFonts w:ascii="Times New Roman"/>
                <w:color w:val="auto"/>
                <w:sz w:val="20"/>
              </w:rPr>
            </w:pPr>
          </w:p>
          <w:p w14:paraId="69A9F4C3">
            <w:pPr>
              <w:pStyle w:val="8"/>
              <w:spacing w:before="170" w:line="242" w:lineRule="auto"/>
              <w:ind w:left="107" w:right="97"/>
              <w:jc w:val="both"/>
              <w:rPr>
                <w:color w:val="auto"/>
                <w:sz w:val="21"/>
              </w:rPr>
            </w:pPr>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7"/>
                <w:sz w:val="21"/>
              </w:rPr>
              <w:t xml:space="preserve"> 万元以下</w:t>
            </w:r>
            <w:r>
              <w:rPr>
                <w:color w:val="auto"/>
                <w:sz w:val="21"/>
              </w:rPr>
              <w:t>罚款。</w:t>
            </w:r>
          </w:p>
        </w:tc>
        <w:tc>
          <w:tcPr>
            <w:tcW w:w="2714" w:type="dxa"/>
            <w:vAlign w:val="top"/>
          </w:tcPr>
          <w:p w14:paraId="3FD3C7BB">
            <w:pPr>
              <w:pStyle w:val="8"/>
              <w:jc w:val="both"/>
              <w:rPr>
                <w:rFonts w:ascii="Times New Roman"/>
                <w:color w:val="auto"/>
                <w:sz w:val="20"/>
              </w:rPr>
            </w:pPr>
          </w:p>
          <w:p w14:paraId="4505650E">
            <w:pPr>
              <w:pStyle w:val="8"/>
              <w:jc w:val="both"/>
              <w:rPr>
                <w:rFonts w:ascii="Times New Roman"/>
                <w:color w:val="auto"/>
                <w:sz w:val="20"/>
              </w:rPr>
            </w:pPr>
          </w:p>
          <w:p w14:paraId="407A714B">
            <w:pPr>
              <w:pStyle w:val="8"/>
              <w:jc w:val="both"/>
              <w:rPr>
                <w:rFonts w:ascii="Times New Roman"/>
                <w:color w:val="auto"/>
                <w:sz w:val="20"/>
              </w:rPr>
            </w:pPr>
          </w:p>
          <w:p w14:paraId="51C4E61C">
            <w:pPr>
              <w:pStyle w:val="8"/>
              <w:jc w:val="both"/>
              <w:rPr>
                <w:rFonts w:ascii="Times New Roman"/>
                <w:color w:val="auto"/>
                <w:sz w:val="20"/>
              </w:rPr>
            </w:pPr>
          </w:p>
          <w:p w14:paraId="31AACF5C">
            <w:pPr>
              <w:pStyle w:val="8"/>
              <w:spacing w:before="170" w:line="242" w:lineRule="auto"/>
              <w:ind w:left="107" w:right="94"/>
              <w:jc w:val="both"/>
              <w:rPr>
                <w:color w:val="auto"/>
                <w:sz w:val="21"/>
              </w:rPr>
            </w:pPr>
            <w:r>
              <w:rPr>
                <w:color w:val="auto"/>
                <w:spacing w:val="-28"/>
                <w:sz w:val="21"/>
              </w:rPr>
              <w:t xml:space="preserve">处 </w:t>
            </w:r>
            <w:r>
              <w:rPr>
                <w:color w:val="auto"/>
                <w:sz w:val="21"/>
              </w:rPr>
              <w:t>5</w:t>
            </w:r>
            <w:r>
              <w:rPr>
                <w:color w:val="auto"/>
                <w:spacing w:val="-21"/>
                <w:sz w:val="21"/>
              </w:rPr>
              <w:t xml:space="preserve"> 万元以上 </w:t>
            </w:r>
            <w:r>
              <w:rPr>
                <w:color w:val="auto"/>
                <w:sz w:val="21"/>
              </w:rPr>
              <w:t>6.5</w:t>
            </w:r>
            <w:r>
              <w:rPr>
                <w:color w:val="auto"/>
                <w:spacing w:val="-16"/>
                <w:sz w:val="21"/>
              </w:rPr>
              <w:t xml:space="preserve"> 万元以下</w:t>
            </w:r>
            <w:r>
              <w:rPr>
                <w:color w:val="auto"/>
                <w:sz w:val="21"/>
              </w:rPr>
              <w:t>罚款。</w:t>
            </w:r>
          </w:p>
        </w:tc>
        <w:tc>
          <w:tcPr>
            <w:tcW w:w="2717" w:type="dxa"/>
            <w:vAlign w:val="top"/>
          </w:tcPr>
          <w:p w14:paraId="7C9E9425">
            <w:pPr>
              <w:pStyle w:val="8"/>
              <w:jc w:val="both"/>
              <w:rPr>
                <w:rFonts w:ascii="Times New Roman"/>
                <w:color w:val="auto"/>
                <w:sz w:val="20"/>
              </w:rPr>
            </w:pPr>
          </w:p>
          <w:p w14:paraId="464C1204">
            <w:pPr>
              <w:pStyle w:val="8"/>
              <w:jc w:val="both"/>
              <w:rPr>
                <w:rFonts w:ascii="Times New Roman"/>
                <w:color w:val="auto"/>
                <w:sz w:val="20"/>
              </w:rPr>
            </w:pPr>
          </w:p>
          <w:p w14:paraId="164945A0">
            <w:pPr>
              <w:pStyle w:val="8"/>
              <w:jc w:val="both"/>
              <w:rPr>
                <w:rFonts w:ascii="Times New Roman"/>
                <w:color w:val="auto"/>
                <w:sz w:val="20"/>
              </w:rPr>
            </w:pPr>
          </w:p>
          <w:p w14:paraId="524C0348">
            <w:pPr>
              <w:pStyle w:val="8"/>
              <w:jc w:val="both"/>
              <w:rPr>
                <w:rFonts w:ascii="Times New Roman"/>
                <w:color w:val="auto"/>
                <w:sz w:val="20"/>
              </w:rPr>
            </w:pPr>
          </w:p>
          <w:p w14:paraId="1357623E">
            <w:pPr>
              <w:pStyle w:val="8"/>
              <w:spacing w:before="170" w:line="242" w:lineRule="auto"/>
              <w:ind w:left="107" w:right="96"/>
              <w:jc w:val="both"/>
              <w:rPr>
                <w:color w:val="auto"/>
                <w:sz w:val="21"/>
              </w:rPr>
            </w:pPr>
            <w:r>
              <w:rPr>
                <w:color w:val="auto"/>
                <w:spacing w:val="-28"/>
                <w:sz w:val="21"/>
              </w:rPr>
              <w:t xml:space="preserve">处 </w:t>
            </w:r>
            <w:r>
              <w:rPr>
                <w:color w:val="auto"/>
                <w:sz w:val="21"/>
              </w:rPr>
              <w:t>6.5</w:t>
            </w:r>
            <w:r>
              <w:rPr>
                <w:color w:val="auto"/>
                <w:spacing w:val="-20"/>
                <w:sz w:val="21"/>
              </w:rPr>
              <w:t xml:space="preserve"> 万元以上 </w:t>
            </w:r>
            <w:r>
              <w:rPr>
                <w:color w:val="auto"/>
                <w:sz w:val="21"/>
              </w:rPr>
              <w:t>8.5</w:t>
            </w:r>
            <w:r>
              <w:rPr>
                <w:color w:val="auto"/>
                <w:spacing w:val="-19"/>
                <w:sz w:val="21"/>
              </w:rPr>
              <w:t xml:space="preserve"> 万元以</w:t>
            </w:r>
            <w:r>
              <w:rPr>
                <w:color w:val="auto"/>
                <w:spacing w:val="-1"/>
                <w:sz w:val="21"/>
              </w:rPr>
              <w:t>下罚款。</w:t>
            </w:r>
          </w:p>
        </w:tc>
        <w:tc>
          <w:tcPr>
            <w:tcW w:w="3900" w:type="dxa"/>
            <w:vAlign w:val="top"/>
          </w:tcPr>
          <w:p w14:paraId="0098A56B">
            <w:pPr>
              <w:pStyle w:val="8"/>
              <w:jc w:val="both"/>
              <w:rPr>
                <w:rFonts w:ascii="Times New Roman"/>
                <w:color w:val="auto"/>
                <w:sz w:val="20"/>
              </w:rPr>
            </w:pPr>
          </w:p>
          <w:p w14:paraId="7D2BA2FD">
            <w:pPr>
              <w:pStyle w:val="8"/>
              <w:jc w:val="both"/>
              <w:rPr>
                <w:rFonts w:ascii="Times New Roman"/>
                <w:color w:val="auto"/>
                <w:sz w:val="20"/>
              </w:rPr>
            </w:pPr>
          </w:p>
          <w:p w14:paraId="1F7E84A6">
            <w:pPr>
              <w:pStyle w:val="8"/>
              <w:jc w:val="both"/>
              <w:rPr>
                <w:rFonts w:ascii="Times New Roman"/>
                <w:color w:val="auto"/>
                <w:sz w:val="20"/>
              </w:rPr>
            </w:pPr>
          </w:p>
          <w:p w14:paraId="5771DAB3">
            <w:pPr>
              <w:pStyle w:val="8"/>
              <w:jc w:val="both"/>
              <w:rPr>
                <w:rFonts w:ascii="Times New Roman"/>
                <w:color w:val="auto"/>
                <w:sz w:val="20"/>
              </w:rPr>
            </w:pPr>
          </w:p>
          <w:p w14:paraId="57DCD1F5">
            <w:pPr>
              <w:pStyle w:val="8"/>
              <w:spacing w:before="8"/>
              <w:jc w:val="both"/>
              <w:rPr>
                <w:rFonts w:ascii="Times New Roman"/>
                <w:color w:val="auto"/>
                <w:sz w:val="26"/>
              </w:rPr>
            </w:pPr>
          </w:p>
          <w:p w14:paraId="0B9E0186">
            <w:pPr>
              <w:pStyle w:val="8"/>
              <w:ind w:left="105"/>
              <w:jc w:val="both"/>
              <w:rPr>
                <w:color w:val="auto"/>
                <w:sz w:val="21"/>
              </w:rPr>
            </w:pPr>
            <w:r>
              <w:rPr>
                <w:color w:val="auto"/>
                <w:sz w:val="21"/>
              </w:rPr>
              <w:t>处 8.5 万元以上 10 万元以下罚款。</w:t>
            </w:r>
          </w:p>
        </w:tc>
      </w:tr>
    </w:tbl>
    <w:p w14:paraId="78F40A07">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179"/>
        <w:gridCol w:w="2715"/>
        <w:gridCol w:w="2714"/>
        <w:gridCol w:w="2717"/>
        <w:gridCol w:w="3900"/>
      </w:tblGrid>
      <w:tr w14:paraId="2B3AD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7" w:type="dxa"/>
            <w:vMerge w:val="restart"/>
            <w:vAlign w:val="top"/>
          </w:tcPr>
          <w:p w14:paraId="53D80D98">
            <w:pPr>
              <w:pStyle w:val="8"/>
              <w:jc w:val="both"/>
              <w:rPr>
                <w:rFonts w:ascii="Times New Roman"/>
                <w:color w:val="auto"/>
                <w:sz w:val="20"/>
              </w:rPr>
            </w:pPr>
          </w:p>
          <w:p w14:paraId="61B5161E">
            <w:pPr>
              <w:pStyle w:val="8"/>
              <w:jc w:val="both"/>
              <w:rPr>
                <w:rFonts w:ascii="Times New Roman"/>
                <w:color w:val="auto"/>
                <w:sz w:val="20"/>
              </w:rPr>
            </w:pPr>
          </w:p>
          <w:p w14:paraId="056752F8">
            <w:pPr>
              <w:pStyle w:val="8"/>
              <w:jc w:val="both"/>
              <w:rPr>
                <w:rFonts w:ascii="Times New Roman"/>
                <w:color w:val="auto"/>
                <w:sz w:val="20"/>
              </w:rPr>
            </w:pPr>
          </w:p>
          <w:p w14:paraId="1960FAF7">
            <w:pPr>
              <w:pStyle w:val="8"/>
              <w:jc w:val="both"/>
              <w:rPr>
                <w:rFonts w:ascii="Times New Roman"/>
                <w:color w:val="auto"/>
                <w:sz w:val="20"/>
              </w:rPr>
            </w:pPr>
          </w:p>
          <w:p w14:paraId="5BEF548D">
            <w:pPr>
              <w:pStyle w:val="8"/>
              <w:jc w:val="both"/>
              <w:rPr>
                <w:rFonts w:ascii="Times New Roman"/>
                <w:color w:val="auto"/>
                <w:sz w:val="20"/>
              </w:rPr>
            </w:pPr>
          </w:p>
          <w:p w14:paraId="10316E58">
            <w:pPr>
              <w:pStyle w:val="8"/>
              <w:jc w:val="both"/>
              <w:rPr>
                <w:rFonts w:ascii="Times New Roman"/>
                <w:color w:val="auto"/>
                <w:sz w:val="20"/>
              </w:rPr>
            </w:pPr>
          </w:p>
          <w:p w14:paraId="4AF8A909">
            <w:pPr>
              <w:pStyle w:val="8"/>
              <w:jc w:val="both"/>
              <w:rPr>
                <w:rFonts w:ascii="Times New Roman"/>
                <w:color w:val="auto"/>
                <w:sz w:val="20"/>
              </w:rPr>
            </w:pPr>
          </w:p>
          <w:p w14:paraId="3273AFEB">
            <w:pPr>
              <w:pStyle w:val="8"/>
              <w:jc w:val="both"/>
              <w:rPr>
                <w:rFonts w:ascii="Times New Roman"/>
                <w:color w:val="auto"/>
                <w:sz w:val="20"/>
              </w:rPr>
            </w:pPr>
          </w:p>
          <w:p w14:paraId="1634AB9F">
            <w:pPr>
              <w:pStyle w:val="8"/>
              <w:jc w:val="both"/>
              <w:rPr>
                <w:rFonts w:ascii="Times New Roman"/>
                <w:color w:val="auto"/>
                <w:sz w:val="20"/>
              </w:rPr>
            </w:pPr>
          </w:p>
          <w:p w14:paraId="4DC855D6">
            <w:pPr>
              <w:pStyle w:val="8"/>
              <w:jc w:val="both"/>
              <w:rPr>
                <w:rFonts w:ascii="Times New Roman"/>
                <w:color w:val="auto"/>
                <w:sz w:val="20"/>
              </w:rPr>
            </w:pPr>
          </w:p>
          <w:p w14:paraId="481ED5A7">
            <w:pPr>
              <w:pStyle w:val="8"/>
              <w:jc w:val="both"/>
              <w:rPr>
                <w:rFonts w:ascii="Times New Roman"/>
                <w:color w:val="auto"/>
                <w:sz w:val="20"/>
              </w:rPr>
            </w:pPr>
          </w:p>
          <w:p w14:paraId="2DD9C789">
            <w:pPr>
              <w:pStyle w:val="8"/>
              <w:jc w:val="both"/>
              <w:rPr>
                <w:rFonts w:ascii="Times New Roman"/>
                <w:color w:val="auto"/>
                <w:sz w:val="20"/>
              </w:rPr>
            </w:pPr>
          </w:p>
          <w:p w14:paraId="3ECD9E39">
            <w:pPr>
              <w:pStyle w:val="8"/>
              <w:jc w:val="both"/>
              <w:rPr>
                <w:rFonts w:ascii="Times New Roman"/>
                <w:color w:val="auto"/>
                <w:sz w:val="20"/>
              </w:rPr>
            </w:pPr>
          </w:p>
          <w:p w14:paraId="5A954723">
            <w:pPr>
              <w:pStyle w:val="8"/>
              <w:jc w:val="both"/>
              <w:rPr>
                <w:rFonts w:ascii="Times New Roman"/>
                <w:color w:val="auto"/>
                <w:sz w:val="20"/>
              </w:rPr>
            </w:pPr>
          </w:p>
          <w:p w14:paraId="32DC0DF0">
            <w:pPr>
              <w:pStyle w:val="8"/>
              <w:jc w:val="both"/>
              <w:rPr>
                <w:rFonts w:ascii="Times New Roman"/>
                <w:color w:val="auto"/>
                <w:sz w:val="20"/>
              </w:rPr>
            </w:pPr>
          </w:p>
          <w:p w14:paraId="6985DC17">
            <w:pPr>
              <w:pStyle w:val="8"/>
              <w:spacing w:before="5"/>
              <w:jc w:val="both"/>
              <w:rPr>
                <w:rFonts w:ascii="Times New Roman"/>
                <w:color w:val="auto"/>
                <w:sz w:val="20"/>
              </w:rPr>
            </w:pPr>
          </w:p>
          <w:p w14:paraId="6940255F">
            <w:pPr>
              <w:pStyle w:val="8"/>
              <w:spacing w:before="1"/>
              <w:ind w:left="175"/>
              <w:jc w:val="both"/>
              <w:rPr>
                <w:b/>
                <w:color w:val="auto"/>
                <w:sz w:val="21"/>
              </w:rPr>
            </w:pPr>
            <w:r>
              <w:rPr>
                <w:b/>
                <w:color w:val="auto"/>
                <w:sz w:val="21"/>
              </w:rPr>
              <w:t>14</w:t>
            </w:r>
          </w:p>
        </w:tc>
        <w:tc>
          <w:tcPr>
            <w:tcW w:w="1179" w:type="dxa"/>
            <w:vAlign w:val="top"/>
          </w:tcPr>
          <w:p w14:paraId="34D620AF">
            <w:pPr>
              <w:pStyle w:val="8"/>
              <w:spacing w:before="3"/>
              <w:jc w:val="both"/>
              <w:rPr>
                <w:rFonts w:ascii="Times New Roman"/>
                <w:color w:val="auto"/>
                <w:sz w:val="20"/>
              </w:rPr>
            </w:pPr>
          </w:p>
          <w:p w14:paraId="56451A78">
            <w:pPr>
              <w:pStyle w:val="8"/>
              <w:spacing w:before="1"/>
              <w:ind w:left="145" w:right="139"/>
              <w:jc w:val="both"/>
              <w:rPr>
                <w:b/>
                <w:color w:val="auto"/>
                <w:sz w:val="21"/>
              </w:rPr>
            </w:pPr>
            <w:r>
              <w:rPr>
                <w:b/>
                <w:color w:val="auto"/>
                <w:sz w:val="21"/>
              </w:rPr>
              <w:t>违法行为</w:t>
            </w:r>
          </w:p>
        </w:tc>
        <w:tc>
          <w:tcPr>
            <w:tcW w:w="12046" w:type="dxa"/>
            <w:gridSpan w:val="4"/>
            <w:vAlign w:val="top"/>
          </w:tcPr>
          <w:p w14:paraId="3FE8874E">
            <w:pPr>
              <w:pStyle w:val="8"/>
              <w:spacing w:before="3"/>
              <w:jc w:val="both"/>
              <w:rPr>
                <w:rFonts w:ascii="Times New Roman"/>
                <w:color w:val="auto"/>
                <w:sz w:val="20"/>
              </w:rPr>
            </w:pPr>
          </w:p>
          <w:p w14:paraId="452C0830">
            <w:pPr>
              <w:pStyle w:val="8"/>
              <w:spacing w:before="1"/>
              <w:ind w:left="527"/>
              <w:jc w:val="both"/>
              <w:rPr>
                <w:color w:val="auto"/>
                <w:sz w:val="21"/>
              </w:rPr>
            </w:pPr>
            <w:r>
              <w:rPr>
                <w:color w:val="auto"/>
                <w:sz w:val="21"/>
              </w:rPr>
              <w:t>医疗器械临床试验机构出具虚假报告的</w:t>
            </w:r>
          </w:p>
        </w:tc>
      </w:tr>
      <w:tr w14:paraId="1879E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trPr>
        <w:tc>
          <w:tcPr>
            <w:tcW w:w="567" w:type="dxa"/>
            <w:vMerge w:val="continue"/>
            <w:tcBorders>
              <w:top w:val="nil"/>
            </w:tcBorders>
            <w:vAlign w:val="top"/>
          </w:tcPr>
          <w:p w14:paraId="2B708AD4">
            <w:pPr>
              <w:jc w:val="both"/>
              <w:rPr>
                <w:color w:val="auto"/>
                <w:sz w:val="2"/>
                <w:szCs w:val="2"/>
              </w:rPr>
            </w:pPr>
          </w:p>
        </w:tc>
        <w:tc>
          <w:tcPr>
            <w:tcW w:w="1179" w:type="dxa"/>
            <w:vAlign w:val="top"/>
          </w:tcPr>
          <w:p w14:paraId="1433250D">
            <w:pPr>
              <w:pStyle w:val="8"/>
              <w:jc w:val="both"/>
              <w:rPr>
                <w:rFonts w:ascii="Times New Roman"/>
                <w:color w:val="auto"/>
                <w:sz w:val="20"/>
              </w:rPr>
            </w:pPr>
          </w:p>
          <w:p w14:paraId="00787484">
            <w:pPr>
              <w:pStyle w:val="8"/>
              <w:spacing w:before="133"/>
              <w:ind w:left="145" w:right="139"/>
              <w:jc w:val="both"/>
              <w:rPr>
                <w:b/>
                <w:color w:val="auto"/>
                <w:sz w:val="21"/>
              </w:rPr>
            </w:pPr>
            <w:r>
              <w:rPr>
                <w:b/>
                <w:color w:val="auto"/>
                <w:sz w:val="21"/>
              </w:rPr>
              <w:t>处罚依据</w:t>
            </w:r>
          </w:p>
        </w:tc>
        <w:tc>
          <w:tcPr>
            <w:tcW w:w="12046" w:type="dxa"/>
            <w:gridSpan w:val="4"/>
            <w:vAlign w:val="top"/>
          </w:tcPr>
          <w:p w14:paraId="7C581646">
            <w:pPr>
              <w:pStyle w:val="8"/>
              <w:spacing w:line="242" w:lineRule="auto"/>
              <w:ind w:left="107" w:right="93" w:firstLine="420"/>
              <w:jc w:val="both"/>
              <w:rPr>
                <w:color w:val="auto"/>
                <w:sz w:val="21"/>
              </w:rPr>
            </w:pPr>
            <w:r>
              <w:rPr>
                <w:color w:val="auto"/>
                <w:spacing w:val="-4"/>
                <w:sz w:val="21"/>
              </w:rPr>
              <w:t xml:space="preserve">根据《医疗器械监督管理条例》第九十五条规定，由负责药品监督管理的部门处 </w:t>
            </w:r>
            <w:r>
              <w:rPr>
                <w:color w:val="auto"/>
                <w:sz w:val="21"/>
              </w:rPr>
              <w:t>10</w:t>
            </w:r>
            <w:r>
              <w:rPr>
                <w:color w:val="auto"/>
                <w:spacing w:val="-10"/>
                <w:sz w:val="21"/>
              </w:rPr>
              <w:t xml:space="preserve"> 万元以上 </w:t>
            </w:r>
            <w:r>
              <w:rPr>
                <w:color w:val="auto"/>
                <w:sz w:val="21"/>
              </w:rPr>
              <w:t>30</w:t>
            </w:r>
            <w:r>
              <w:rPr>
                <w:color w:val="auto"/>
                <w:spacing w:val="-6"/>
                <w:sz w:val="21"/>
              </w:rPr>
              <w:t xml:space="preserve"> 万元以下罚款；有违法所得</w:t>
            </w:r>
            <w:r>
              <w:rPr>
                <w:color w:val="auto"/>
                <w:spacing w:val="-4"/>
                <w:sz w:val="21"/>
              </w:rPr>
              <w:t>的，没收违法所得；</w:t>
            </w:r>
            <w:r>
              <w:rPr>
                <w:color w:val="auto"/>
                <w:sz w:val="21"/>
              </w:rPr>
              <w:t>10</w:t>
            </w:r>
            <w:r>
              <w:rPr>
                <w:color w:val="auto"/>
                <w:spacing w:val="-9"/>
                <w:sz w:val="21"/>
              </w:rPr>
              <w:t xml:space="preserve"> 年内禁止其开展相关专业医疗器械临床试验。</w:t>
            </w:r>
          </w:p>
        </w:tc>
      </w:tr>
      <w:tr w14:paraId="016E0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7" w:type="dxa"/>
            <w:vMerge w:val="continue"/>
            <w:tcBorders>
              <w:top w:val="nil"/>
            </w:tcBorders>
            <w:vAlign w:val="top"/>
          </w:tcPr>
          <w:p w14:paraId="56E339B2">
            <w:pPr>
              <w:jc w:val="both"/>
              <w:rPr>
                <w:color w:val="auto"/>
                <w:sz w:val="2"/>
                <w:szCs w:val="2"/>
              </w:rPr>
            </w:pPr>
          </w:p>
        </w:tc>
        <w:tc>
          <w:tcPr>
            <w:tcW w:w="1179" w:type="dxa"/>
            <w:vAlign w:val="top"/>
          </w:tcPr>
          <w:p w14:paraId="58C3F438">
            <w:pPr>
              <w:pStyle w:val="8"/>
              <w:spacing w:before="147"/>
              <w:ind w:left="145" w:right="139"/>
              <w:jc w:val="both"/>
              <w:rPr>
                <w:b/>
                <w:color w:val="auto"/>
                <w:sz w:val="21"/>
              </w:rPr>
            </w:pPr>
            <w:r>
              <w:rPr>
                <w:b/>
                <w:color w:val="auto"/>
                <w:sz w:val="21"/>
              </w:rPr>
              <w:t>裁量等级</w:t>
            </w:r>
          </w:p>
        </w:tc>
        <w:tc>
          <w:tcPr>
            <w:tcW w:w="2715" w:type="dxa"/>
            <w:vAlign w:val="top"/>
          </w:tcPr>
          <w:p w14:paraId="1B1FF424">
            <w:pPr>
              <w:pStyle w:val="8"/>
              <w:spacing w:before="147"/>
              <w:ind w:left="107"/>
              <w:jc w:val="both"/>
              <w:rPr>
                <w:b/>
                <w:color w:val="auto"/>
                <w:sz w:val="21"/>
              </w:rPr>
            </w:pPr>
            <w:r>
              <w:rPr>
                <w:b/>
                <w:color w:val="auto"/>
                <w:sz w:val="21"/>
              </w:rPr>
              <w:t>减轻</w:t>
            </w:r>
          </w:p>
        </w:tc>
        <w:tc>
          <w:tcPr>
            <w:tcW w:w="2714" w:type="dxa"/>
            <w:vAlign w:val="top"/>
          </w:tcPr>
          <w:p w14:paraId="4D6896C9">
            <w:pPr>
              <w:pStyle w:val="8"/>
              <w:spacing w:before="147"/>
              <w:ind w:left="107"/>
              <w:jc w:val="both"/>
              <w:rPr>
                <w:b/>
                <w:color w:val="auto"/>
                <w:sz w:val="21"/>
              </w:rPr>
            </w:pPr>
            <w:r>
              <w:rPr>
                <w:b/>
                <w:color w:val="auto"/>
                <w:sz w:val="21"/>
              </w:rPr>
              <w:t>从轻</w:t>
            </w:r>
          </w:p>
        </w:tc>
        <w:tc>
          <w:tcPr>
            <w:tcW w:w="2717" w:type="dxa"/>
            <w:vAlign w:val="top"/>
          </w:tcPr>
          <w:p w14:paraId="0AE1C96B">
            <w:pPr>
              <w:pStyle w:val="8"/>
              <w:spacing w:before="147"/>
              <w:ind w:left="107"/>
              <w:jc w:val="both"/>
              <w:rPr>
                <w:b/>
                <w:color w:val="auto"/>
                <w:sz w:val="21"/>
              </w:rPr>
            </w:pPr>
            <w:r>
              <w:rPr>
                <w:b/>
                <w:color w:val="auto"/>
                <w:sz w:val="21"/>
              </w:rPr>
              <w:t>一般</w:t>
            </w:r>
          </w:p>
        </w:tc>
        <w:tc>
          <w:tcPr>
            <w:tcW w:w="3900" w:type="dxa"/>
            <w:vAlign w:val="top"/>
          </w:tcPr>
          <w:p w14:paraId="5C75A40F">
            <w:pPr>
              <w:pStyle w:val="8"/>
              <w:spacing w:before="147"/>
              <w:ind w:left="105"/>
              <w:jc w:val="both"/>
              <w:rPr>
                <w:b/>
                <w:color w:val="auto"/>
                <w:sz w:val="21"/>
              </w:rPr>
            </w:pPr>
            <w:r>
              <w:rPr>
                <w:b/>
                <w:color w:val="auto"/>
                <w:sz w:val="21"/>
              </w:rPr>
              <w:t>从重</w:t>
            </w:r>
          </w:p>
        </w:tc>
      </w:tr>
      <w:tr w14:paraId="67D91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567" w:type="dxa"/>
            <w:vMerge w:val="continue"/>
            <w:tcBorders>
              <w:top w:val="nil"/>
            </w:tcBorders>
            <w:vAlign w:val="top"/>
          </w:tcPr>
          <w:p w14:paraId="139E3B8E">
            <w:pPr>
              <w:jc w:val="both"/>
              <w:rPr>
                <w:color w:val="auto"/>
                <w:sz w:val="2"/>
                <w:szCs w:val="2"/>
              </w:rPr>
            </w:pPr>
          </w:p>
        </w:tc>
        <w:tc>
          <w:tcPr>
            <w:tcW w:w="1179" w:type="dxa"/>
            <w:vAlign w:val="top"/>
          </w:tcPr>
          <w:p w14:paraId="343C5800">
            <w:pPr>
              <w:pStyle w:val="8"/>
              <w:spacing w:before="4"/>
              <w:jc w:val="both"/>
              <w:rPr>
                <w:rFonts w:ascii="Times New Roman"/>
                <w:color w:val="auto"/>
                <w:sz w:val="20"/>
              </w:rPr>
            </w:pPr>
          </w:p>
          <w:p w14:paraId="4AFD069E">
            <w:pPr>
              <w:pStyle w:val="8"/>
              <w:ind w:left="145" w:right="139"/>
              <w:jc w:val="both"/>
              <w:rPr>
                <w:b/>
                <w:color w:val="auto"/>
                <w:sz w:val="21"/>
              </w:rPr>
            </w:pPr>
            <w:r>
              <w:rPr>
                <w:b/>
                <w:color w:val="auto"/>
                <w:sz w:val="21"/>
              </w:rPr>
              <w:t>裁量情节</w:t>
            </w:r>
          </w:p>
        </w:tc>
        <w:tc>
          <w:tcPr>
            <w:tcW w:w="2715" w:type="dxa"/>
            <w:vAlign w:val="top"/>
          </w:tcPr>
          <w:p w14:paraId="3F07CD97">
            <w:pPr>
              <w:pStyle w:val="8"/>
              <w:spacing w:before="97" w:line="244" w:lineRule="auto"/>
              <w:ind w:left="107" w:right="98"/>
              <w:jc w:val="both"/>
              <w:rPr>
                <w:color w:val="auto"/>
                <w:sz w:val="21"/>
              </w:rPr>
            </w:pPr>
            <w:r>
              <w:rPr>
                <w:color w:val="auto"/>
                <w:sz w:val="21"/>
              </w:rPr>
              <w:t>符合裁量规定减轻行政处罚情形的。</w:t>
            </w:r>
          </w:p>
        </w:tc>
        <w:tc>
          <w:tcPr>
            <w:tcW w:w="2714" w:type="dxa"/>
            <w:vAlign w:val="top"/>
          </w:tcPr>
          <w:p w14:paraId="78E5BEA0">
            <w:pPr>
              <w:pStyle w:val="8"/>
              <w:spacing w:before="97" w:line="244" w:lineRule="auto"/>
              <w:ind w:left="107" w:right="95"/>
              <w:jc w:val="both"/>
              <w:rPr>
                <w:color w:val="auto"/>
                <w:sz w:val="21"/>
              </w:rPr>
            </w:pPr>
            <w:r>
              <w:rPr>
                <w:color w:val="auto"/>
                <w:sz w:val="21"/>
              </w:rPr>
              <w:t>符合裁量规定从轻行政处罚情形的。</w:t>
            </w:r>
          </w:p>
        </w:tc>
        <w:tc>
          <w:tcPr>
            <w:tcW w:w="2717" w:type="dxa"/>
            <w:vAlign w:val="top"/>
          </w:tcPr>
          <w:p w14:paraId="35D30681">
            <w:pPr>
              <w:pStyle w:val="8"/>
              <w:spacing w:before="97" w:line="244" w:lineRule="auto"/>
              <w:ind w:left="107" w:right="98"/>
              <w:jc w:val="both"/>
              <w:rPr>
                <w:color w:val="auto"/>
                <w:sz w:val="21"/>
              </w:rPr>
            </w:pPr>
            <w:r>
              <w:rPr>
                <w:color w:val="auto"/>
                <w:sz w:val="21"/>
              </w:rPr>
              <w:t>符合裁量规定一般行政处罚情形的。</w:t>
            </w:r>
          </w:p>
        </w:tc>
        <w:tc>
          <w:tcPr>
            <w:tcW w:w="3900" w:type="dxa"/>
            <w:vAlign w:val="top"/>
          </w:tcPr>
          <w:p w14:paraId="5E8E9AF8">
            <w:pPr>
              <w:pStyle w:val="8"/>
              <w:spacing w:before="4"/>
              <w:jc w:val="both"/>
              <w:rPr>
                <w:rFonts w:ascii="Times New Roman"/>
                <w:color w:val="auto"/>
                <w:sz w:val="20"/>
              </w:rPr>
            </w:pPr>
          </w:p>
          <w:p w14:paraId="2320B7E8">
            <w:pPr>
              <w:pStyle w:val="8"/>
              <w:ind w:left="105"/>
              <w:jc w:val="both"/>
              <w:rPr>
                <w:color w:val="auto"/>
                <w:sz w:val="21"/>
              </w:rPr>
            </w:pPr>
            <w:r>
              <w:rPr>
                <w:color w:val="auto"/>
                <w:sz w:val="21"/>
              </w:rPr>
              <w:t>符合裁量规定从重行政处罚情形的。</w:t>
            </w:r>
          </w:p>
        </w:tc>
      </w:tr>
      <w:tr w14:paraId="30B80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1" w:hRule="atLeast"/>
        </w:trPr>
        <w:tc>
          <w:tcPr>
            <w:tcW w:w="567" w:type="dxa"/>
            <w:vMerge w:val="continue"/>
            <w:tcBorders>
              <w:top w:val="nil"/>
            </w:tcBorders>
            <w:vAlign w:val="top"/>
          </w:tcPr>
          <w:p w14:paraId="58628BF0">
            <w:pPr>
              <w:jc w:val="both"/>
              <w:rPr>
                <w:color w:val="auto"/>
                <w:sz w:val="2"/>
                <w:szCs w:val="2"/>
              </w:rPr>
            </w:pPr>
          </w:p>
        </w:tc>
        <w:tc>
          <w:tcPr>
            <w:tcW w:w="1179" w:type="dxa"/>
            <w:vAlign w:val="top"/>
          </w:tcPr>
          <w:p w14:paraId="76C969A7">
            <w:pPr>
              <w:pStyle w:val="8"/>
              <w:jc w:val="both"/>
              <w:rPr>
                <w:rFonts w:ascii="Times New Roman"/>
                <w:color w:val="auto"/>
                <w:sz w:val="20"/>
              </w:rPr>
            </w:pPr>
          </w:p>
          <w:p w14:paraId="2A7B3FB0">
            <w:pPr>
              <w:pStyle w:val="8"/>
              <w:jc w:val="both"/>
              <w:rPr>
                <w:rFonts w:ascii="Times New Roman"/>
                <w:color w:val="auto"/>
                <w:sz w:val="20"/>
              </w:rPr>
            </w:pPr>
          </w:p>
          <w:p w14:paraId="55483703">
            <w:pPr>
              <w:pStyle w:val="8"/>
              <w:jc w:val="both"/>
              <w:rPr>
                <w:rFonts w:ascii="Times New Roman"/>
                <w:color w:val="auto"/>
                <w:sz w:val="20"/>
              </w:rPr>
            </w:pPr>
          </w:p>
          <w:p w14:paraId="489A8E91">
            <w:pPr>
              <w:pStyle w:val="8"/>
              <w:jc w:val="both"/>
              <w:rPr>
                <w:rFonts w:ascii="Times New Roman"/>
                <w:color w:val="auto"/>
                <w:sz w:val="20"/>
              </w:rPr>
            </w:pPr>
          </w:p>
          <w:p w14:paraId="52BFAFCD">
            <w:pPr>
              <w:pStyle w:val="8"/>
              <w:spacing w:before="6"/>
              <w:jc w:val="both"/>
              <w:rPr>
                <w:rFonts w:ascii="Times New Roman"/>
                <w:color w:val="auto"/>
                <w:sz w:val="26"/>
              </w:rPr>
            </w:pPr>
          </w:p>
          <w:p w14:paraId="2C49FA54">
            <w:pPr>
              <w:pStyle w:val="8"/>
              <w:ind w:left="145" w:right="139"/>
              <w:jc w:val="both"/>
              <w:rPr>
                <w:b/>
                <w:color w:val="auto"/>
                <w:sz w:val="21"/>
              </w:rPr>
            </w:pPr>
            <w:r>
              <w:rPr>
                <w:b/>
                <w:color w:val="auto"/>
                <w:sz w:val="21"/>
              </w:rPr>
              <w:t>裁量基准</w:t>
            </w:r>
          </w:p>
        </w:tc>
        <w:tc>
          <w:tcPr>
            <w:tcW w:w="2715" w:type="dxa"/>
            <w:vAlign w:val="top"/>
          </w:tcPr>
          <w:p w14:paraId="70297316">
            <w:pPr>
              <w:pStyle w:val="8"/>
              <w:jc w:val="both"/>
              <w:rPr>
                <w:rFonts w:ascii="Times New Roman"/>
                <w:color w:val="auto"/>
                <w:sz w:val="20"/>
              </w:rPr>
            </w:pPr>
          </w:p>
        </w:tc>
        <w:tc>
          <w:tcPr>
            <w:tcW w:w="2714" w:type="dxa"/>
            <w:vAlign w:val="top"/>
          </w:tcPr>
          <w:p w14:paraId="70B84D54">
            <w:pPr>
              <w:pStyle w:val="8"/>
              <w:jc w:val="both"/>
              <w:rPr>
                <w:rFonts w:ascii="Times New Roman"/>
                <w:color w:val="auto"/>
                <w:sz w:val="20"/>
              </w:rPr>
            </w:pPr>
          </w:p>
          <w:p w14:paraId="23D0D5EC">
            <w:pPr>
              <w:pStyle w:val="8"/>
              <w:jc w:val="both"/>
              <w:rPr>
                <w:rFonts w:ascii="Times New Roman"/>
                <w:color w:val="auto"/>
                <w:sz w:val="20"/>
              </w:rPr>
            </w:pPr>
          </w:p>
          <w:p w14:paraId="36635DE2">
            <w:pPr>
              <w:pStyle w:val="8"/>
              <w:jc w:val="both"/>
              <w:rPr>
                <w:rFonts w:ascii="Times New Roman"/>
                <w:color w:val="auto"/>
                <w:sz w:val="20"/>
              </w:rPr>
            </w:pPr>
          </w:p>
          <w:p w14:paraId="4C65EEEF">
            <w:pPr>
              <w:pStyle w:val="8"/>
              <w:jc w:val="both"/>
              <w:rPr>
                <w:rFonts w:ascii="Times New Roman"/>
                <w:color w:val="auto"/>
                <w:sz w:val="20"/>
              </w:rPr>
            </w:pPr>
          </w:p>
          <w:p w14:paraId="779D7883">
            <w:pPr>
              <w:pStyle w:val="8"/>
              <w:spacing w:before="168" w:line="244" w:lineRule="auto"/>
              <w:ind w:left="107" w:right="94"/>
              <w:jc w:val="both"/>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16</w:t>
            </w:r>
            <w:r>
              <w:rPr>
                <w:color w:val="auto"/>
                <w:spacing w:val="-16"/>
                <w:sz w:val="21"/>
              </w:rPr>
              <w:t xml:space="preserve"> 万元以下</w:t>
            </w:r>
            <w:r>
              <w:rPr>
                <w:color w:val="auto"/>
                <w:sz w:val="21"/>
              </w:rPr>
              <w:t>罚款。</w:t>
            </w:r>
          </w:p>
        </w:tc>
        <w:tc>
          <w:tcPr>
            <w:tcW w:w="2717" w:type="dxa"/>
            <w:vAlign w:val="top"/>
          </w:tcPr>
          <w:p w14:paraId="12FB9513">
            <w:pPr>
              <w:pStyle w:val="8"/>
              <w:jc w:val="both"/>
              <w:rPr>
                <w:rFonts w:ascii="Times New Roman"/>
                <w:color w:val="auto"/>
                <w:sz w:val="20"/>
              </w:rPr>
            </w:pPr>
          </w:p>
          <w:p w14:paraId="28BAA235">
            <w:pPr>
              <w:pStyle w:val="8"/>
              <w:jc w:val="both"/>
              <w:rPr>
                <w:rFonts w:ascii="Times New Roman"/>
                <w:color w:val="auto"/>
                <w:sz w:val="20"/>
              </w:rPr>
            </w:pPr>
          </w:p>
          <w:p w14:paraId="03EFBF45">
            <w:pPr>
              <w:pStyle w:val="8"/>
              <w:jc w:val="both"/>
              <w:rPr>
                <w:rFonts w:ascii="Times New Roman"/>
                <w:color w:val="auto"/>
                <w:sz w:val="20"/>
              </w:rPr>
            </w:pPr>
          </w:p>
          <w:p w14:paraId="10154230">
            <w:pPr>
              <w:pStyle w:val="8"/>
              <w:jc w:val="both"/>
              <w:rPr>
                <w:rFonts w:ascii="Times New Roman"/>
                <w:color w:val="auto"/>
                <w:sz w:val="20"/>
              </w:rPr>
            </w:pPr>
          </w:p>
          <w:p w14:paraId="10A3221A">
            <w:pPr>
              <w:pStyle w:val="8"/>
              <w:spacing w:before="168" w:line="244" w:lineRule="auto"/>
              <w:ind w:left="107" w:right="96"/>
              <w:jc w:val="both"/>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6"/>
                <w:sz w:val="21"/>
              </w:rPr>
              <w:t xml:space="preserve"> 万元以下</w:t>
            </w:r>
            <w:r>
              <w:rPr>
                <w:color w:val="auto"/>
                <w:sz w:val="21"/>
              </w:rPr>
              <w:t>罚款。</w:t>
            </w:r>
          </w:p>
        </w:tc>
        <w:tc>
          <w:tcPr>
            <w:tcW w:w="3900" w:type="dxa"/>
            <w:vAlign w:val="top"/>
          </w:tcPr>
          <w:p w14:paraId="2B612D8A">
            <w:pPr>
              <w:pStyle w:val="8"/>
              <w:jc w:val="both"/>
              <w:rPr>
                <w:rFonts w:ascii="Times New Roman"/>
                <w:color w:val="auto"/>
                <w:sz w:val="20"/>
              </w:rPr>
            </w:pPr>
          </w:p>
          <w:p w14:paraId="55509296">
            <w:pPr>
              <w:pStyle w:val="8"/>
              <w:jc w:val="both"/>
              <w:rPr>
                <w:rFonts w:ascii="Times New Roman"/>
                <w:color w:val="auto"/>
                <w:sz w:val="20"/>
              </w:rPr>
            </w:pPr>
          </w:p>
          <w:p w14:paraId="6A16294D">
            <w:pPr>
              <w:pStyle w:val="8"/>
              <w:jc w:val="both"/>
              <w:rPr>
                <w:rFonts w:ascii="Times New Roman"/>
                <w:color w:val="auto"/>
                <w:sz w:val="20"/>
              </w:rPr>
            </w:pPr>
          </w:p>
          <w:p w14:paraId="2A817211">
            <w:pPr>
              <w:pStyle w:val="8"/>
              <w:jc w:val="both"/>
              <w:rPr>
                <w:rFonts w:ascii="Times New Roman"/>
                <w:color w:val="auto"/>
                <w:sz w:val="20"/>
              </w:rPr>
            </w:pPr>
          </w:p>
          <w:p w14:paraId="11A61E13">
            <w:pPr>
              <w:pStyle w:val="8"/>
              <w:spacing w:before="6"/>
              <w:jc w:val="both"/>
              <w:rPr>
                <w:rFonts w:ascii="Times New Roman"/>
                <w:color w:val="auto"/>
                <w:sz w:val="26"/>
              </w:rPr>
            </w:pPr>
          </w:p>
          <w:p w14:paraId="501869F6">
            <w:pPr>
              <w:pStyle w:val="8"/>
              <w:ind w:left="105"/>
              <w:jc w:val="both"/>
              <w:rPr>
                <w:color w:val="auto"/>
                <w:sz w:val="21"/>
              </w:rPr>
            </w:pPr>
            <w:r>
              <w:rPr>
                <w:color w:val="auto"/>
                <w:sz w:val="21"/>
              </w:rPr>
              <w:t>处 24 万元以上 30 万元以下罚款。</w:t>
            </w:r>
          </w:p>
        </w:tc>
      </w:tr>
    </w:tbl>
    <w:p w14:paraId="024E0279">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60"/>
        <w:gridCol w:w="523"/>
        <w:gridCol w:w="2715"/>
        <w:gridCol w:w="2714"/>
        <w:gridCol w:w="2717"/>
        <w:gridCol w:w="3900"/>
      </w:tblGrid>
      <w:tr w14:paraId="3E232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restart"/>
            <w:vAlign w:val="top"/>
          </w:tcPr>
          <w:p w14:paraId="28867AC1">
            <w:pPr>
              <w:pStyle w:val="8"/>
              <w:jc w:val="both"/>
              <w:rPr>
                <w:rFonts w:ascii="Times New Roman"/>
                <w:color w:val="auto"/>
                <w:sz w:val="20"/>
              </w:rPr>
            </w:pPr>
          </w:p>
          <w:p w14:paraId="25175DBF">
            <w:pPr>
              <w:pStyle w:val="8"/>
              <w:jc w:val="both"/>
              <w:rPr>
                <w:rFonts w:ascii="Times New Roman"/>
                <w:color w:val="auto"/>
                <w:sz w:val="20"/>
              </w:rPr>
            </w:pPr>
          </w:p>
          <w:p w14:paraId="1EE1E16A">
            <w:pPr>
              <w:pStyle w:val="8"/>
              <w:jc w:val="both"/>
              <w:rPr>
                <w:rFonts w:ascii="Times New Roman"/>
                <w:color w:val="auto"/>
                <w:sz w:val="20"/>
              </w:rPr>
            </w:pPr>
          </w:p>
          <w:p w14:paraId="58D476A2">
            <w:pPr>
              <w:pStyle w:val="8"/>
              <w:jc w:val="both"/>
              <w:rPr>
                <w:rFonts w:ascii="Times New Roman"/>
                <w:color w:val="auto"/>
                <w:sz w:val="20"/>
              </w:rPr>
            </w:pPr>
          </w:p>
          <w:p w14:paraId="69456BEA">
            <w:pPr>
              <w:pStyle w:val="8"/>
              <w:jc w:val="both"/>
              <w:rPr>
                <w:rFonts w:ascii="Times New Roman"/>
                <w:color w:val="auto"/>
                <w:sz w:val="20"/>
              </w:rPr>
            </w:pPr>
          </w:p>
          <w:p w14:paraId="5713145C">
            <w:pPr>
              <w:pStyle w:val="8"/>
              <w:jc w:val="both"/>
              <w:rPr>
                <w:rFonts w:ascii="Times New Roman"/>
                <w:color w:val="auto"/>
                <w:sz w:val="20"/>
              </w:rPr>
            </w:pPr>
          </w:p>
          <w:p w14:paraId="7D346BD3">
            <w:pPr>
              <w:pStyle w:val="8"/>
              <w:jc w:val="both"/>
              <w:rPr>
                <w:rFonts w:ascii="Times New Roman"/>
                <w:color w:val="auto"/>
                <w:sz w:val="20"/>
              </w:rPr>
            </w:pPr>
          </w:p>
          <w:p w14:paraId="095C85C1">
            <w:pPr>
              <w:pStyle w:val="8"/>
              <w:jc w:val="both"/>
              <w:rPr>
                <w:rFonts w:ascii="Times New Roman"/>
                <w:color w:val="auto"/>
                <w:sz w:val="20"/>
              </w:rPr>
            </w:pPr>
          </w:p>
          <w:p w14:paraId="75C5F870">
            <w:pPr>
              <w:pStyle w:val="8"/>
              <w:jc w:val="both"/>
              <w:rPr>
                <w:rFonts w:ascii="Times New Roman"/>
                <w:color w:val="auto"/>
                <w:sz w:val="20"/>
              </w:rPr>
            </w:pPr>
          </w:p>
          <w:p w14:paraId="0BA0AAD9">
            <w:pPr>
              <w:pStyle w:val="8"/>
              <w:jc w:val="both"/>
              <w:rPr>
                <w:rFonts w:ascii="Times New Roman"/>
                <w:color w:val="auto"/>
                <w:sz w:val="20"/>
              </w:rPr>
            </w:pPr>
          </w:p>
          <w:p w14:paraId="74FEA22B">
            <w:pPr>
              <w:pStyle w:val="8"/>
              <w:jc w:val="both"/>
              <w:rPr>
                <w:rFonts w:ascii="Times New Roman"/>
                <w:color w:val="auto"/>
                <w:sz w:val="20"/>
              </w:rPr>
            </w:pPr>
          </w:p>
          <w:p w14:paraId="07FD0A9A">
            <w:pPr>
              <w:pStyle w:val="8"/>
              <w:jc w:val="both"/>
              <w:rPr>
                <w:rFonts w:ascii="Times New Roman"/>
                <w:color w:val="auto"/>
                <w:sz w:val="20"/>
              </w:rPr>
            </w:pPr>
          </w:p>
          <w:p w14:paraId="01A961F7">
            <w:pPr>
              <w:pStyle w:val="8"/>
              <w:jc w:val="both"/>
              <w:rPr>
                <w:rFonts w:ascii="Times New Roman"/>
                <w:color w:val="auto"/>
                <w:sz w:val="20"/>
              </w:rPr>
            </w:pPr>
          </w:p>
          <w:p w14:paraId="62674D17">
            <w:pPr>
              <w:pStyle w:val="8"/>
              <w:jc w:val="both"/>
              <w:rPr>
                <w:rFonts w:ascii="Times New Roman"/>
                <w:color w:val="auto"/>
                <w:sz w:val="20"/>
              </w:rPr>
            </w:pPr>
          </w:p>
          <w:p w14:paraId="359DDDA9">
            <w:pPr>
              <w:pStyle w:val="8"/>
              <w:jc w:val="both"/>
              <w:rPr>
                <w:rFonts w:ascii="Times New Roman"/>
                <w:color w:val="auto"/>
                <w:sz w:val="20"/>
              </w:rPr>
            </w:pPr>
          </w:p>
          <w:p w14:paraId="092BAF5D">
            <w:pPr>
              <w:pStyle w:val="8"/>
              <w:spacing w:before="7"/>
              <w:jc w:val="both"/>
              <w:rPr>
                <w:rFonts w:ascii="Times New Roman"/>
                <w:color w:val="auto"/>
                <w:sz w:val="18"/>
              </w:rPr>
            </w:pPr>
          </w:p>
          <w:p w14:paraId="4E2DAA1D">
            <w:pPr>
              <w:pStyle w:val="8"/>
              <w:ind w:left="175"/>
              <w:jc w:val="both"/>
              <w:rPr>
                <w:b/>
                <w:color w:val="auto"/>
                <w:sz w:val="21"/>
              </w:rPr>
            </w:pPr>
            <w:r>
              <w:rPr>
                <w:b/>
                <w:color w:val="auto"/>
                <w:sz w:val="21"/>
              </w:rPr>
              <w:t>15</w:t>
            </w:r>
          </w:p>
        </w:tc>
        <w:tc>
          <w:tcPr>
            <w:tcW w:w="1183" w:type="dxa"/>
            <w:gridSpan w:val="2"/>
            <w:vAlign w:val="top"/>
          </w:tcPr>
          <w:p w14:paraId="5CD43630">
            <w:pPr>
              <w:pStyle w:val="8"/>
              <w:spacing w:before="149"/>
              <w:ind w:left="170"/>
              <w:jc w:val="both"/>
              <w:rPr>
                <w:b/>
                <w:color w:val="auto"/>
                <w:sz w:val="21"/>
              </w:rPr>
            </w:pPr>
            <w:r>
              <w:rPr>
                <w:b/>
                <w:color w:val="auto"/>
                <w:sz w:val="21"/>
              </w:rPr>
              <w:t>违法行为</w:t>
            </w:r>
          </w:p>
        </w:tc>
        <w:tc>
          <w:tcPr>
            <w:tcW w:w="12046" w:type="dxa"/>
            <w:gridSpan w:val="4"/>
            <w:vAlign w:val="top"/>
          </w:tcPr>
          <w:p w14:paraId="2B36094F">
            <w:pPr>
              <w:pStyle w:val="8"/>
              <w:spacing w:before="149"/>
              <w:ind w:left="528"/>
              <w:jc w:val="both"/>
              <w:rPr>
                <w:color w:val="auto"/>
                <w:sz w:val="21"/>
              </w:rPr>
            </w:pPr>
            <w:r>
              <w:rPr>
                <w:color w:val="auto"/>
                <w:sz w:val="21"/>
              </w:rPr>
              <w:t>违反本条例有关医疗器械广告管理规定的</w:t>
            </w:r>
          </w:p>
        </w:tc>
      </w:tr>
      <w:tr w14:paraId="15E31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4" w:hRule="atLeast"/>
        </w:trPr>
        <w:tc>
          <w:tcPr>
            <w:tcW w:w="562" w:type="dxa"/>
            <w:vMerge w:val="continue"/>
            <w:tcBorders>
              <w:top w:val="nil"/>
            </w:tcBorders>
            <w:vAlign w:val="top"/>
          </w:tcPr>
          <w:p w14:paraId="7FB2E4A7">
            <w:pPr>
              <w:jc w:val="both"/>
              <w:rPr>
                <w:color w:val="auto"/>
                <w:sz w:val="2"/>
                <w:szCs w:val="2"/>
              </w:rPr>
            </w:pPr>
          </w:p>
        </w:tc>
        <w:tc>
          <w:tcPr>
            <w:tcW w:w="1183" w:type="dxa"/>
            <w:gridSpan w:val="2"/>
            <w:vAlign w:val="top"/>
          </w:tcPr>
          <w:p w14:paraId="423F6714">
            <w:pPr>
              <w:pStyle w:val="8"/>
              <w:jc w:val="both"/>
              <w:rPr>
                <w:rFonts w:ascii="Times New Roman"/>
                <w:color w:val="auto"/>
                <w:sz w:val="20"/>
              </w:rPr>
            </w:pPr>
          </w:p>
          <w:p w14:paraId="5744EB20">
            <w:pPr>
              <w:pStyle w:val="8"/>
              <w:jc w:val="both"/>
              <w:rPr>
                <w:rFonts w:ascii="Times New Roman"/>
                <w:color w:val="auto"/>
                <w:sz w:val="20"/>
              </w:rPr>
            </w:pPr>
          </w:p>
          <w:p w14:paraId="29CB4CED">
            <w:pPr>
              <w:pStyle w:val="8"/>
              <w:jc w:val="both"/>
              <w:rPr>
                <w:rFonts w:ascii="Times New Roman"/>
                <w:color w:val="auto"/>
                <w:sz w:val="20"/>
              </w:rPr>
            </w:pPr>
          </w:p>
          <w:p w14:paraId="565ED92D">
            <w:pPr>
              <w:pStyle w:val="8"/>
              <w:jc w:val="both"/>
              <w:rPr>
                <w:rFonts w:ascii="Times New Roman"/>
                <w:color w:val="auto"/>
                <w:sz w:val="20"/>
              </w:rPr>
            </w:pPr>
          </w:p>
          <w:p w14:paraId="251FD4F4">
            <w:pPr>
              <w:pStyle w:val="8"/>
              <w:spacing w:before="6"/>
              <w:jc w:val="both"/>
              <w:rPr>
                <w:rFonts w:ascii="Times New Roman"/>
                <w:color w:val="auto"/>
                <w:sz w:val="26"/>
              </w:rPr>
            </w:pPr>
          </w:p>
          <w:p w14:paraId="1A85E866">
            <w:pPr>
              <w:pStyle w:val="8"/>
              <w:ind w:left="170"/>
              <w:jc w:val="both"/>
              <w:rPr>
                <w:b/>
                <w:color w:val="auto"/>
                <w:sz w:val="21"/>
              </w:rPr>
            </w:pPr>
            <w:r>
              <w:rPr>
                <w:b/>
                <w:color w:val="auto"/>
                <w:sz w:val="21"/>
              </w:rPr>
              <w:t>处罚依据</w:t>
            </w:r>
          </w:p>
        </w:tc>
        <w:tc>
          <w:tcPr>
            <w:tcW w:w="12046" w:type="dxa"/>
            <w:gridSpan w:val="4"/>
            <w:vAlign w:val="top"/>
          </w:tcPr>
          <w:p w14:paraId="3436F38E">
            <w:pPr>
              <w:pStyle w:val="8"/>
              <w:spacing w:before="1" w:line="242" w:lineRule="auto"/>
              <w:ind w:left="108" w:right="-15" w:firstLine="420"/>
              <w:jc w:val="both"/>
              <w:rPr>
                <w:color w:val="auto"/>
                <w:sz w:val="21"/>
              </w:rPr>
            </w:pPr>
            <w:r>
              <w:rPr>
                <w:color w:val="auto"/>
                <w:spacing w:val="-8"/>
                <w:sz w:val="21"/>
              </w:rPr>
              <w:t>根据《医疗器械监督管理条例》第九十七条规定，违反本条例有关医疗器械广告管理规定的，依照《中华人民共和国广告法》</w:t>
            </w:r>
            <w:r>
              <w:rPr>
                <w:color w:val="auto"/>
                <w:spacing w:val="-5"/>
                <w:sz w:val="21"/>
              </w:rPr>
              <w:t>的规定给予处罚。</w:t>
            </w:r>
          </w:p>
          <w:p w14:paraId="7ABB8D68">
            <w:pPr>
              <w:pStyle w:val="8"/>
              <w:spacing w:before="1" w:line="242" w:lineRule="auto"/>
              <w:ind w:left="108" w:right="98" w:firstLine="420"/>
              <w:jc w:val="both"/>
              <w:rPr>
                <w:color w:val="auto"/>
                <w:sz w:val="21"/>
              </w:rPr>
            </w:pPr>
            <w:r>
              <w:rPr>
                <w:color w:val="auto"/>
                <w:spacing w:val="-1"/>
                <w:sz w:val="21"/>
              </w:rPr>
              <w:t xml:space="preserve">《中华人民共和国广告法》第五十八条 有下列行为之一的，由市场监督管理部门责令停止发布广告，责令广告主在相应范围内消除影响，处广告费用一倍以上三倍以下的罚款，广告费用无法计算或者明显偏低的，处十万元以上二十万元以下的罚款； 情节严重的，处广告费用三倍以上五倍以下的罚款，广告费用无法计算或者明显偏低的，处二十万元以上一百万元以下的罚款， </w:t>
            </w:r>
            <w:r>
              <w:rPr>
                <w:color w:val="auto"/>
                <w:spacing w:val="-3"/>
                <w:sz w:val="21"/>
              </w:rPr>
              <w:t>可以吊销营业执照，并由广告审查机关撤销广告审查批准文件、一年内不受理其广告审查申请：</w:t>
            </w:r>
          </w:p>
          <w:p w14:paraId="6A6E9E90">
            <w:pPr>
              <w:pStyle w:val="8"/>
              <w:spacing w:before="3"/>
              <w:ind w:left="528"/>
              <w:jc w:val="both"/>
              <w:rPr>
                <w:color w:val="auto"/>
                <w:sz w:val="21"/>
              </w:rPr>
            </w:pPr>
            <w:r>
              <w:rPr>
                <w:color w:val="auto"/>
                <w:sz w:val="21"/>
              </w:rPr>
              <w:t>（一）违反本法第十六条规定发布医疗、药品、医疗器械广告的；</w:t>
            </w:r>
          </w:p>
          <w:p w14:paraId="389D999A">
            <w:pPr>
              <w:pStyle w:val="8"/>
              <w:spacing w:before="2" w:line="244" w:lineRule="auto"/>
              <w:ind w:left="108" w:right="98" w:firstLine="420"/>
              <w:jc w:val="both"/>
              <w:rPr>
                <w:color w:val="auto"/>
                <w:sz w:val="21"/>
              </w:rPr>
            </w:pPr>
            <w:r>
              <w:rPr>
                <w:color w:val="auto"/>
                <w:sz w:val="21"/>
              </w:rPr>
              <w:t>（二）违反本法第十七条规定，在广告中涉及疾病治疗功能，以及使用医疗用语或者易使推销的商品与药品、医疗器械相混淆的用语的；</w:t>
            </w:r>
          </w:p>
          <w:p w14:paraId="09635841">
            <w:pPr>
              <w:pStyle w:val="8"/>
              <w:spacing w:line="248" w:lineRule="exact"/>
              <w:ind w:left="528"/>
              <w:jc w:val="both"/>
              <w:rPr>
                <w:color w:val="auto"/>
                <w:sz w:val="21"/>
              </w:rPr>
            </w:pPr>
            <w:r>
              <w:rPr>
                <w:color w:val="auto"/>
                <w:sz w:val="21"/>
              </w:rPr>
              <w:t>（十四）违反本法第四十六条规定，未经审查发布广告的。</w:t>
            </w:r>
          </w:p>
        </w:tc>
      </w:tr>
      <w:tr w14:paraId="22EBC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562" w:type="dxa"/>
            <w:vMerge w:val="continue"/>
            <w:tcBorders>
              <w:top w:val="nil"/>
            </w:tcBorders>
            <w:vAlign w:val="top"/>
          </w:tcPr>
          <w:p w14:paraId="3ACB7631">
            <w:pPr>
              <w:jc w:val="both"/>
              <w:rPr>
                <w:color w:val="auto"/>
                <w:sz w:val="2"/>
                <w:szCs w:val="2"/>
              </w:rPr>
            </w:pPr>
          </w:p>
        </w:tc>
        <w:tc>
          <w:tcPr>
            <w:tcW w:w="1183" w:type="dxa"/>
            <w:gridSpan w:val="2"/>
            <w:vAlign w:val="top"/>
          </w:tcPr>
          <w:p w14:paraId="1ED1DF4D">
            <w:pPr>
              <w:pStyle w:val="8"/>
              <w:spacing w:before="147"/>
              <w:ind w:left="170"/>
              <w:jc w:val="both"/>
              <w:rPr>
                <w:b/>
                <w:color w:val="auto"/>
                <w:sz w:val="21"/>
              </w:rPr>
            </w:pPr>
            <w:r>
              <w:rPr>
                <w:b/>
                <w:color w:val="auto"/>
                <w:sz w:val="21"/>
              </w:rPr>
              <w:t>裁量等级</w:t>
            </w:r>
          </w:p>
        </w:tc>
        <w:tc>
          <w:tcPr>
            <w:tcW w:w="2715" w:type="dxa"/>
            <w:vAlign w:val="top"/>
          </w:tcPr>
          <w:p w14:paraId="03F6742D">
            <w:pPr>
              <w:pStyle w:val="8"/>
              <w:spacing w:before="147"/>
              <w:ind w:left="108"/>
              <w:jc w:val="both"/>
              <w:rPr>
                <w:b/>
                <w:color w:val="auto"/>
                <w:sz w:val="21"/>
              </w:rPr>
            </w:pPr>
            <w:r>
              <w:rPr>
                <w:b/>
                <w:color w:val="auto"/>
                <w:sz w:val="21"/>
              </w:rPr>
              <w:t>减轻</w:t>
            </w:r>
          </w:p>
        </w:tc>
        <w:tc>
          <w:tcPr>
            <w:tcW w:w="2714" w:type="dxa"/>
            <w:vAlign w:val="top"/>
          </w:tcPr>
          <w:p w14:paraId="1789567E">
            <w:pPr>
              <w:pStyle w:val="8"/>
              <w:spacing w:before="147"/>
              <w:ind w:left="108"/>
              <w:jc w:val="both"/>
              <w:rPr>
                <w:b/>
                <w:color w:val="auto"/>
                <w:sz w:val="21"/>
              </w:rPr>
            </w:pPr>
            <w:r>
              <w:rPr>
                <w:b/>
                <w:color w:val="auto"/>
                <w:sz w:val="21"/>
              </w:rPr>
              <w:t>从轻</w:t>
            </w:r>
          </w:p>
        </w:tc>
        <w:tc>
          <w:tcPr>
            <w:tcW w:w="2717" w:type="dxa"/>
            <w:vAlign w:val="top"/>
          </w:tcPr>
          <w:p w14:paraId="3392BF36">
            <w:pPr>
              <w:pStyle w:val="8"/>
              <w:spacing w:before="147"/>
              <w:ind w:left="108"/>
              <w:jc w:val="both"/>
              <w:rPr>
                <w:b/>
                <w:color w:val="auto"/>
                <w:sz w:val="21"/>
              </w:rPr>
            </w:pPr>
            <w:r>
              <w:rPr>
                <w:b/>
                <w:color w:val="auto"/>
                <w:sz w:val="21"/>
              </w:rPr>
              <w:t>一般</w:t>
            </w:r>
          </w:p>
        </w:tc>
        <w:tc>
          <w:tcPr>
            <w:tcW w:w="3900" w:type="dxa"/>
            <w:vAlign w:val="top"/>
          </w:tcPr>
          <w:p w14:paraId="0846D488">
            <w:pPr>
              <w:pStyle w:val="8"/>
              <w:spacing w:before="147"/>
              <w:ind w:left="106"/>
              <w:jc w:val="both"/>
              <w:rPr>
                <w:b/>
                <w:color w:val="auto"/>
                <w:sz w:val="21"/>
              </w:rPr>
            </w:pPr>
            <w:r>
              <w:rPr>
                <w:b/>
                <w:color w:val="auto"/>
                <w:sz w:val="21"/>
              </w:rPr>
              <w:t>从重</w:t>
            </w:r>
          </w:p>
        </w:tc>
      </w:tr>
      <w:tr w14:paraId="4C2F0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562" w:type="dxa"/>
            <w:vMerge w:val="continue"/>
            <w:tcBorders>
              <w:top w:val="nil"/>
            </w:tcBorders>
            <w:vAlign w:val="top"/>
          </w:tcPr>
          <w:p w14:paraId="73936602">
            <w:pPr>
              <w:jc w:val="both"/>
              <w:rPr>
                <w:color w:val="auto"/>
                <w:sz w:val="2"/>
                <w:szCs w:val="2"/>
              </w:rPr>
            </w:pPr>
          </w:p>
        </w:tc>
        <w:tc>
          <w:tcPr>
            <w:tcW w:w="1183" w:type="dxa"/>
            <w:gridSpan w:val="2"/>
            <w:vAlign w:val="top"/>
          </w:tcPr>
          <w:p w14:paraId="325B6C05">
            <w:pPr>
              <w:pStyle w:val="8"/>
              <w:spacing w:before="5"/>
              <w:jc w:val="both"/>
              <w:rPr>
                <w:rFonts w:ascii="Times New Roman"/>
                <w:color w:val="auto"/>
                <w:sz w:val="18"/>
              </w:rPr>
            </w:pPr>
          </w:p>
          <w:p w14:paraId="05E65643">
            <w:pPr>
              <w:pStyle w:val="8"/>
              <w:ind w:left="170"/>
              <w:jc w:val="both"/>
              <w:rPr>
                <w:b/>
                <w:color w:val="auto"/>
                <w:sz w:val="21"/>
              </w:rPr>
            </w:pPr>
            <w:r>
              <w:rPr>
                <w:b/>
                <w:color w:val="auto"/>
                <w:sz w:val="21"/>
              </w:rPr>
              <w:t>裁量情节</w:t>
            </w:r>
          </w:p>
        </w:tc>
        <w:tc>
          <w:tcPr>
            <w:tcW w:w="2715" w:type="dxa"/>
            <w:vAlign w:val="top"/>
          </w:tcPr>
          <w:p w14:paraId="2BA07D8C">
            <w:pPr>
              <w:pStyle w:val="8"/>
              <w:spacing w:before="75" w:line="244" w:lineRule="auto"/>
              <w:ind w:left="108" w:right="97"/>
              <w:jc w:val="both"/>
              <w:rPr>
                <w:color w:val="auto"/>
                <w:sz w:val="21"/>
              </w:rPr>
            </w:pPr>
            <w:r>
              <w:rPr>
                <w:color w:val="auto"/>
                <w:sz w:val="21"/>
              </w:rPr>
              <w:t>符合裁量规定减轻行政处罚情形的。</w:t>
            </w:r>
          </w:p>
        </w:tc>
        <w:tc>
          <w:tcPr>
            <w:tcW w:w="2714" w:type="dxa"/>
            <w:vAlign w:val="top"/>
          </w:tcPr>
          <w:p w14:paraId="6D46C57A">
            <w:pPr>
              <w:pStyle w:val="8"/>
              <w:spacing w:before="75" w:line="244" w:lineRule="auto"/>
              <w:ind w:left="108" w:right="94"/>
              <w:jc w:val="both"/>
              <w:rPr>
                <w:color w:val="auto"/>
                <w:sz w:val="21"/>
              </w:rPr>
            </w:pPr>
            <w:r>
              <w:rPr>
                <w:color w:val="auto"/>
                <w:sz w:val="21"/>
              </w:rPr>
              <w:t>符合裁量规定从轻行政处罚情形的。</w:t>
            </w:r>
          </w:p>
        </w:tc>
        <w:tc>
          <w:tcPr>
            <w:tcW w:w="2717" w:type="dxa"/>
            <w:vAlign w:val="top"/>
          </w:tcPr>
          <w:p w14:paraId="16A257E5">
            <w:pPr>
              <w:pStyle w:val="8"/>
              <w:spacing w:before="75" w:line="244" w:lineRule="auto"/>
              <w:ind w:left="108" w:right="97"/>
              <w:jc w:val="both"/>
              <w:rPr>
                <w:color w:val="auto"/>
                <w:sz w:val="21"/>
              </w:rPr>
            </w:pPr>
            <w:r>
              <w:rPr>
                <w:color w:val="auto"/>
                <w:sz w:val="21"/>
              </w:rPr>
              <w:t>符合裁量规定一般行政处罚情形的。</w:t>
            </w:r>
          </w:p>
        </w:tc>
        <w:tc>
          <w:tcPr>
            <w:tcW w:w="3900" w:type="dxa"/>
            <w:vAlign w:val="top"/>
          </w:tcPr>
          <w:p w14:paraId="5DA61AC2">
            <w:pPr>
              <w:pStyle w:val="8"/>
              <w:spacing w:before="5"/>
              <w:jc w:val="both"/>
              <w:rPr>
                <w:rFonts w:ascii="Times New Roman"/>
                <w:color w:val="auto"/>
                <w:sz w:val="18"/>
              </w:rPr>
            </w:pPr>
          </w:p>
          <w:p w14:paraId="55AD6979">
            <w:pPr>
              <w:pStyle w:val="8"/>
              <w:ind w:left="106"/>
              <w:jc w:val="both"/>
              <w:rPr>
                <w:color w:val="auto"/>
                <w:sz w:val="21"/>
              </w:rPr>
            </w:pPr>
            <w:r>
              <w:rPr>
                <w:color w:val="auto"/>
                <w:sz w:val="21"/>
              </w:rPr>
              <w:t>符合裁量规定从重行政处罚情形的。</w:t>
            </w:r>
          </w:p>
        </w:tc>
      </w:tr>
      <w:tr w14:paraId="11B55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3" w:hRule="atLeast"/>
        </w:trPr>
        <w:tc>
          <w:tcPr>
            <w:tcW w:w="562" w:type="dxa"/>
            <w:vMerge w:val="continue"/>
            <w:tcBorders>
              <w:top w:val="nil"/>
            </w:tcBorders>
            <w:vAlign w:val="top"/>
          </w:tcPr>
          <w:p w14:paraId="6BB58FF4">
            <w:pPr>
              <w:jc w:val="both"/>
              <w:rPr>
                <w:color w:val="auto"/>
                <w:sz w:val="2"/>
                <w:szCs w:val="2"/>
              </w:rPr>
            </w:pPr>
          </w:p>
        </w:tc>
        <w:tc>
          <w:tcPr>
            <w:tcW w:w="660" w:type="dxa"/>
            <w:vMerge w:val="restart"/>
            <w:vAlign w:val="top"/>
          </w:tcPr>
          <w:p w14:paraId="58086CE1">
            <w:pPr>
              <w:pStyle w:val="8"/>
              <w:jc w:val="both"/>
              <w:rPr>
                <w:rFonts w:ascii="Times New Roman"/>
                <w:color w:val="auto"/>
                <w:sz w:val="20"/>
              </w:rPr>
            </w:pPr>
          </w:p>
          <w:p w14:paraId="49709166">
            <w:pPr>
              <w:pStyle w:val="8"/>
              <w:jc w:val="both"/>
              <w:rPr>
                <w:rFonts w:ascii="Times New Roman"/>
                <w:color w:val="auto"/>
                <w:sz w:val="20"/>
              </w:rPr>
            </w:pPr>
          </w:p>
          <w:p w14:paraId="7907B2AF">
            <w:pPr>
              <w:pStyle w:val="8"/>
              <w:jc w:val="both"/>
              <w:rPr>
                <w:rFonts w:ascii="Times New Roman"/>
                <w:color w:val="auto"/>
                <w:sz w:val="20"/>
              </w:rPr>
            </w:pPr>
          </w:p>
          <w:p w14:paraId="5B1DC6C0">
            <w:pPr>
              <w:pStyle w:val="8"/>
              <w:jc w:val="both"/>
              <w:rPr>
                <w:rFonts w:ascii="Times New Roman"/>
                <w:color w:val="auto"/>
                <w:sz w:val="20"/>
              </w:rPr>
            </w:pPr>
          </w:p>
          <w:p w14:paraId="43916FC0">
            <w:pPr>
              <w:pStyle w:val="8"/>
              <w:spacing w:before="1"/>
              <w:jc w:val="both"/>
              <w:rPr>
                <w:rFonts w:ascii="Times New Roman"/>
                <w:color w:val="auto"/>
                <w:sz w:val="27"/>
              </w:rPr>
            </w:pPr>
          </w:p>
          <w:p w14:paraId="1AD75C66">
            <w:pPr>
              <w:pStyle w:val="8"/>
              <w:spacing w:before="1" w:line="244" w:lineRule="auto"/>
              <w:ind w:left="117" w:right="108"/>
              <w:jc w:val="both"/>
              <w:rPr>
                <w:b/>
                <w:color w:val="auto"/>
                <w:sz w:val="21"/>
              </w:rPr>
            </w:pPr>
            <w:r>
              <w:rPr>
                <w:b/>
                <w:color w:val="auto"/>
                <w:sz w:val="21"/>
              </w:rPr>
              <w:t>裁量基准</w:t>
            </w:r>
          </w:p>
        </w:tc>
        <w:tc>
          <w:tcPr>
            <w:tcW w:w="523" w:type="dxa"/>
            <w:vAlign w:val="top"/>
          </w:tcPr>
          <w:p w14:paraId="3D7BF53B">
            <w:pPr>
              <w:pStyle w:val="8"/>
              <w:spacing w:before="10"/>
              <w:jc w:val="both"/>
              <w:rPr>
                <w:rFonts w:ascii="Times New Roman"/>
                <w:color w:val="auto"/>
                <w:sz w:val="23"/>
              </w:rPr>
            </w:pPr>
          </w:p>
          <w:p w14:paraId="396E7CF7">
            <w:pPr>
              <w:pStyle w:val="8"/>
              <w:spacing w:line="242" w:lineRule="auto"/>
              <w:ind w:left="155" w:right="145"/>
              <w:jc w:val="both"/>
              <w:rPr>
                <w:b/>
                <w:color w:val="auto"/>
                <w:sz w:val="21"/>
              </w:rPr>
            </w:pPr>
            <w:r>
              <w:rPr>
                <w:b/>
                <w:color w:val="auto"/>
                <w:sz w:val="21"/>
              </w:rPr>
              <w:t>一般情形</w:t>
            </w:r>
          </w:p>
        </w:tc>
        <w:tc>
          <w:tcPr>
            <w:tcW w:w="2715" w:type="dxa"/>
            <w:vAlign w:val="top"/>
          </w:tcPr>
          <w:p w14:paraId="41B73626">
            <w:pPr>
              <w:pStyle w:val="8"/>
              <w:spacing w:before="3"/>
              <w:ind w:left="528"/>
              <w:jc w:val="both"/>
              <w:rPr>
                <w:color w:val="auto"/>
                <w:sz w:val="21"/>
              </w:rPr>
            </w:pPr>
            <w:r>
              <w:rPr>
                <w:color w:val="auto"/>
                <w:sz w:val="21"/>
              </w:rPr>
              <w:t>处广告费用 0.1 倍以上 1 倍以下罚款，广告费用无法计算或者明显偏低的，处 1 万</w:t>
            </w:r>
          </w:p>
          <w:p w14:paraId="0C0332A3">
            <w:pPr>
              <w:pStyle w:val="8"/>
              <w:spacing w:before="3"/>
              <w:ind w:left="528"/>
              <w:jc w:val="both"/>
              <w:rPr>
                <w:color w:val="auto"/>
                <w:sz w:val="21"/>
              </w:rPr>
            </w:pPr>
            <w:r>
              <w:rPr>
                <w:color w:val="auto"/>
                <w:sz w:val="21"/>
              </w:rPr>
              <w:t>元以上 10 万元以下罚款。</w:t>
            </w:r>
          </w:p>
        </w:tc>
        <w:tc>
          <w:tcPr>
            <w:tcW w:w="2714" w:type="dxa"/>
            <w:vAlign w:val="top"/>
          </w:tcPr>
          <w:p w14:paraId="549A4240">
            <w:pPr>
              <w:pStyle w:val="8"/>
              <w:spacing w:before="138" w:line="242" w:lineRule="auto"/>
              <w:ind w:left="108" w:right="92"/>
              <w:jc w:val="both"/>
              <w:rPr>
                <w:color w:val="auto"/>
                <w:sz w:val="21"/>
              </w:rPr>
            </w:pPr>
            <w:r>
              <w:rPr>
                <w:color w:val="auto"/>
                <w:spacing w:val="-11"/>
                <w:sz w:val="21"/>
              </w:rPr>
              <w:t xml:space="preserve">处广告费用 </w:t>
            </w:r>
            <w:r>
              <w:rPr>
                <w:color w:val="auto"/>
                <w:sz w:val="21"/>
              </w:rPr>
              <w:t>1</w:t>
            </w:r>
            <w:r>
              <w:rPr>
                <w:color w:val="auto"/>
                <w:spacing w:val="-24"/>
                <w:sz w:val="21"/>
              </w:rPr>
              <w:t xml:space="preserve"> 倍以上 </w:t>
            </w:r>
            <w:r>
              <w:rPr>
                <w:color w:val="auto"/>
                <w:sz w:val="21"/>
              </w:rPr>
              <w:t>1.6</w:t>
            </w:r>
            <w:r>
              <w:rPr>
                <w:color w:val="auto"/>
                <w:spacing w:val="-35"/>
                <w:sz w:val="21"/>
              </w:rPr>
              <w:t xml:space="preserve"> 倍</w:t>
            </w:r>
            <w:r>
              <w:rPr>
                <w:color w:val="auto"/>
                <w:spacing w:val="-6"/>
                <w:sz w:val="21"/>
              </w:rPr>
              <w:t>以下罚款，广告费用无法计</w:t>
            </w:r>
            <w:r>
              <w:rPr>
                <w:color w:val="auto"/>
                <w:spacing w:val="6"/>
                <w:sz w:val="21"/>
              </w:rPr>
              <w:t>算或者明显偏低的</w:t>
            </w:r>
            <w:r>
              <w:rPr>
                <w:rFonts w:hint="eastAsia"/>
                <w:color w:val="auto"/>
                <w:spacing w:val="6"/>
                <w:sz w:val="21"/>
                <w:lang w:eastAsia="zh-CN"/>
              </w:rPr>
              <w:t>，</w:t>
            </w:r>
            <w:r>
              <w:rPr>
                <w:color w:val="auto"/>
                <w:spacing w:val="6"/>
                <w:sz w:val="21"/>
              </w:rPr>
              <w:t>处</w:t>
            </w:r>
            <w:r>
              <w:rPr>
                <w:color w:val="auto"/>
                <w:spacing w:val="-3"/>
                <w:sz w:val="21"/>
              </w:rPr>
              <w:t>10</w:t>
            </w:r>
            <w:r>
              <w:rPr>
                <w:color w:val="auto"/>
                <w:spacing w:val="-13"/>
                <w:sz w:val="21"/>
              </w:rPr>
              <w:t xml:space="preserve">万元以上 </w:t>
            </w:r>
            <w:r>
              <w:rPr>
                <w:color w:val="auto"/>
                <w:sz w:val="21"/>
              </w:rPr>
              <w:t>13</w:t>
            </w:r>
            <w:r>
              <w:rPr>
                <w:color w:val="auto"/>
                <w:spacing w:val="-13"/>
                <w:sz w:val="21"/>
              </w:rPr>
              <w:t xml:space="preserve"> 万元以下罚款。</w:t>
            </w:r>
          </w:p>
        </w:tc>
        <w:tc>
          <w:tcPr>
            <w:tcW w:w="2717" w:type="dxa"/>
            <w:vAlign w:val="top"/>
          </w:tcPr>
          <w:p w14:paraId="68DB6D62">
            <w:pPr>
              <w:pStyle w:val="8"/>
              <w:spacing w:before="3"/>
              <w:jc w:val="both"/>
              <w:rPr>
                <w:color w:val="auto"/>
                <w:sz w:val="21"/>
              </w:rPr>
            </w:pPr>
            <w:r>
              <w:rPr>
                <w:color w:val="auto"/>
                <w:sz w:val="21"/>
              </w:rPr>
              <w:t>处广告费用 1.6 倍以上 2.4 倍以下罚款，广告费用无法计算或者明显偏低的，处 13万元以上 17 万元以下罚款。</w:t>
            </w:r>
          </w:p>
        </w:tc>
        <w:tc>
          <w:tcPr>
            <w:tcW w:w="3900" w:type="dxa"/>
            <w:vAlign w:val="top"/>
          </w:tcPr>
          <w:p w14:paraId="1859D7A8">
            <w:pPr>
              <w:pStyle w:val="8"/>
              <w:spacing w:before="3"/>
              <w:jc w:val="both"/>
              <w:rPr>
                <w:color w:val="auto"/>
                <w:sz w:val="21"/>
              </w:rPr>
            </w:pPr>
            <w:r>
              <w:rPr>
                <w:color w:val="auto"/>
                <w:sz w:val="21"/>
              </w:rPr>
              <w:t>处广告费用 2.4 倍以上 3 倍以下罚款，广</w:t>
            </w:r>
          </w:p>
          <w:p w14:paraId="6E58DA7C">
            <w:pPr>
              <w:pStyle w:val="8"/>
              <w:spacing w:before="3"/>
              <w:jc w:val="both"/>
              <w:rPr>
                <w:color w:val="auto"/>
                <w:sz w:val="21"/>
              </w:rPr>
            </w:pPr>
            <w:r>
              <w:rPr>
                <w:color w:val="auto"/>
                <w:sz w:val="21"/>
              </w:rPr>
              <w:t>告费用无法计算或者明显偏低的，处 17万元以上 20 万元以下罚款。</w:t>
            </w:r>
          </w:p>
        </w:tc>
      </w:tr>
      <w:tr w14:paraId="583CD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3" w:hRule="atLeast"/>
        </w:trPr>
        <w:tc>
          <w:tcPr>
            <w:tcW w:w="562" w:type="dxa"/>
            <w:vMerge w:val="continue"/>
            <w:tcBorders>
              <w:top w:val="nil"/>
            </w:tcBorders>
            <w:vAlign w:val="top"/>
          </w:tcPr>
          <w:p w14:paraId="54C18E4D">
            <w:pPr>
              <w:jc w:val="both"/>
              <w:rPr>
                <w:color w:val="auto"/>
                <w:sz w:val="2"/>
                <w:szCs w:val="2"/>
              </w:rPr>
            </w:pPr>
          </w:p>
        </w:tc>
        <w:tc>
          <w:tcPr>
            <w:tcW w:w="660" w:type="dxa"/>
            <w:vMerge w:val="continue"/>
            <w:tcBorders>
              <w:top w:val="nil"/>
            </w:tcBorders>
            <w:vAlign w:val="top"/>
          </w:tcPr>
          <w:p w14:paraId="548A2772">
            <w:pPr>
              <w:jc w:val="both"/>
              <w:rPr>
                <w:color w:val="auto"/>
                <w:sz w:val="2"/>
                <w:szCs w:val="2"/>
              </w:rPr>
            </w:pPr>
          </w:p>
        </w:tc>
        <w:tc>
          <w:tcPr>
            <w:tcW w:w="523" w:type="dxa"/>
            <w:vAlign w:val="top"/>
          </w:tcPr>
          <w:p w14:paraId="178160BB">
            <w:pPr>
              <w:pStyle w:val="8"/>
              <w:spacing w:before="1" w:line="242" w:lineRule="auto"/>
              <w:ind w:left="155" w:right="145"/>
              <w:jc w:val="both"/>
              <w:rPr>
                <w:b/>
                <w:color w:val="auto"/>
                <w:sz w:val="21"/>
              </w:rPr>
            </w:pPr>
            <w:r>
              <w:rPr>
                <w:b/>
                <w:color w:val="auto"/>
                <w:sz w:val="21"/>
              </w:rPr>
              <w:t>情节严</w:t>
            </w:r>
          </w:p>
          <w:p w14:paraId="51F3FF16">
            <w:pPr>
              <w:pStyle w:val="8"/>
              <w:spacing w:before="3" w:line="270" w:lineRule="atLeast"/>
              <w:ind w:left="155" w:right="145"/>
              <w:jc w:val="both"/>
              <w:rPr>
                <w:b/>
                <w:color w:val="auto"/>
                <w:sz w:val="21"/>
              </w:rPr>
            </w:pPr>
            <w:r>
              <w:rPr>
                <w:b/>
                <w:color w:val="auto"/>
                <w:sz w:val="21"/>
              </w:rPr>
              <w:t>重的</w:t>
            </w:r>
          </w:p>
        </w:tc>
        <w:tc>
          <w:tcPr>
            <w:tcW w:w="2715" w:type="dxa"/>
            <w:vAlign w:val="top"/>
          </w:tcPr>
          <w:p w14:paraId="208A6BA4">
            <w:pPr>
              <w:pStyle w:val="8"/>
              <w:jc w:val="both"/>
              <w:rPr>
                <w:rFonts w:ascii="Times New Roman"/>
                <w:color w:val="auto"/>
                <w:sz w:val="20"/>
              </w:rPr>
            </w:pPr>
          </w:p>
        </w:tc>
        <w:tc>
          <w:tcPr>
            <w:tcW w:w="2714" w:type="dxa"/>
            <w:vAlign w:val="top"/>
          </w:tcPr>
          <w:p w14:paraId="73E2BC5D">
            <w:pPr>
              <w:pStyle w:val="8"/>
              <w:spacing w:before="3"/>
              <w:jc w:val="both"/>
              <w:rPr>
                <w:color w:val="auto"/>
                <w:sz w:val="21"/>
              </w:rPr>
            </w:pPr>
            <w:r>
              <w:rPr>
                <w:color w:val="auto"/>
                <w:sz w:val="21"/>
              </w:rPr>
              <w:t>处广告费用 3 倍以上 3.6 倍以下罚款，广告费用无法计算或者明显偏低的，处20万元以上 44 万元以下罚款。</w:t>
            </w:r>
          </w:p>
        </w:tc>
        <w:tc>
          <w:tcPr>
            <w:tcW w:w="2717" w:type="dxa"/>
            <w:vAlign w:val="top"/>
          </w:tcPr>
          <w:p w14:paraId="4DE4C638">
            <w:pPr>
              <w:pStyle w:val="8"/>
              <w:spacing w:before="3"/>
              <w:jc w:val="both"/>
              <w:rPr>
                <w:color w:val="auto"/>
                <w:sz w:val="21"/>
              </w:rPr>
            </w:pPr>
            <w:r>
              <w:rPr>
                <w:color w:val="auto"/>
                <w:sz w:val="21"/>
              </w:rPr>
              <w:t>处广告费用 3.6 倍以上 4.4 倍以下罚款，广告费用无法计算或者明显偏低的，处 44万元以上 76 万元以下罚款。</w:t>
            </w:r>
          </w:p>
        </w:tc>
        <w:tc>
          <w:tcPr>
            <w:tcW w:w="3900" w:type="dxa"/>
            <w:vAlign w:val="top"/>
          </w:tcPr>
          <w:p w14:paraId="6CDCD5B8">
            <w:pPr>
              <w:pStyle w:val="8"/>
              <w:spacing w:before="3"/>
              <w:jc w:val="both"/>
              <w:rPr>
                <w:color w:val="auto"/>
                <w:sz w:val="21"/>
              </w:rPr>
            </w:pPr>
            <w:r>
              <w:rPr>
                <w:color w:val="auto"/>
                <w:sz w:val="21"/>
              </w:rPr>
              <w:t>处广告费用 4.4 倍以上 5 倍以下罚款，广</w:t>
            </w:r>
          </w:p>
          <w:p w14:paraId="0C86FE73">
            <w:pPr>
              <w:pStyle w:val="8"/>
              <w:spacing w:before="3"/>
              <w:jc w:val="both"/>
              <w:rPr>
                <w:color w:val="auto"/>
                <w:sz w:val="21"/>
              </w:rPr>
            </w:pPr>
            <w:r>
              <w:rPr>
                <w:color w:val="auto"/>
                <w:sz w:val="21"/>
              </w:rPr>
              <w:t>告费用无法计算或者明显偏低的，处 76万元以上 100 万元以下罚款。</w:t>
            </w:r>
          </w:p>
        </w:tc>
      </w:tr>
    </w:tbl>
    <w:p w14:paraId="40A84174">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06"/>
        <w:gridCol w:w="478"/>
        <w:gridCol w:w="2715"/>
        <w:gridCol w:w="2714"/>
        <w:gridCol w:w="2717"/>
        <w:gridCol w:w="3900"/>
      </w:tblGrid>
      <w:tr w14:paraId="090B9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562" w:type="dxa"/>
            <w:vMerge w:val="restart"/>
            <w:vAlign w:val="top"/>
          </w:tcPr>
          <w:p w14:paraId="2A602FB3">
            <w:pPr>
              <w:pStyle w:val="8"/>
              <w:jc w:val="both"/>
              <w:rPr>
                <w:rFonts w:ascii="Times New Roman"/>
                <w:color w:val="auto"/>
                <w:sz w:val="20"/>
              </w:rPr>
            </w:pPr>
          </w:p>
          <w:p w14:paraId="2B9CF911">
            <w:pPr>
              <w:pStyle w:val="8"/>
              <w:jc w:val="both"/>
              <w:rPr>
                <w:rFonts w:ascii="Times New Roman"/>
                <w:color w:val="auto"/>
                <w:sz w:val="20"/>
              </w:rPr>
            </w:pPr>
          </w:p>
          <w:p w14:paraId="161F8E48">
            <w:pPr>
              <w:pStyle w:val="8"/>
              <w:jc w:val="both"/>
              <w:rPr>
                <w:rFonts w:ascii="Times New Roman"/>
                <w:color w:val="auto"/>
                <w:sz w:val="20"/>
              </w:rPr>
            </w:pPr>
          </w:p>
          <w:p w14:paraId="3626F1D9">
            <w:pPr>
              <w:pStyle w:val="8"/>
              <w:jc w:val="both"/>
              <w:rPr>
                <w:rFonts w:ascii="Times New Roman"/>
                <w:color w:val="auto"/>
                <w:sz w:val="20"/>
              </w:rPr>
            </w:pPr>
          </w:p>
          <w:p w14:paraId="3347447F">
            <w:pPr>
              <w:pStyle w:val="8"/>
              <w:jc w:val="both"/>
              <w:rPr>
                <w:rFonts w:ascii="Times New Roman"/>
                <w:color w:val="auto"/>
                <w:sz w:val="20"/>
              </w:rPr>
            </w:pPr>
          </w:p>
          <w:p w14:paraId="5C5FB2F9">
            <w:pPr>
              <w:pStyle w:val="8"/>
              <w:jc w:val="both"/>
              <w:rPr>
                <w:rFonts w:ascii="Times New Roman"/>
                <w:color w:val="auto"/>
                <w:sz w:val="20"/>
              </w:rPr>
            </w:pPr>
          </w:p>
          <w:p w14:paraId="5F9C719A">
            <w:pPr>
              <w:pStyle w:val="8"/>
              <w:jc w:val="both"/>
              <w:rPr>
                <w:rFonts w:ascii="Times New Roman"/>
                <w:color w:val="auto"/>
                <w:sz w:val="20"/>
              </w:rPr>
            </w:pPr>
          </w:p>
          <w:p w14:paraId="6C153F6E">
            <w:pPr>
              <w:pStyle w:val="8"/>
              <w:jc w:val="both"/>
              <w:rPr>
                <w:rFonts w:ascii="Times New Roman"/>
                <w:color w:val="auto"/>
                <w:sz w:val="20"/>
              </w:rPr>
            </w:pPr>
          </w:p>
          <w:p w14:paraId="335EE2E4">
            <w:pPr>
              <w:pStyle w:val="8"/>
              <w:jc w:val="both"/>
              <w:rPr>
                <w:rFonts w:ascii="Times New Roman"/>
                <w:color w:val="auto"/>
                <w:sz w:val="20"/>
              </w:rPr>
            </w:pPr>
          </w:p>
          <w:p w14:paraId="05C8CB02">
            <w:pPr>
              <w:pStyle w:val="8"/>
              <w:jc w:val="both"/>
              <w:rPr>
                <w:rFonts w:ascii="Times New Roman"/>
                <w:color w:val="auto"/>
                <w:sz w:val="20"/>
              </w:rPr>
            </w:pPr>
          </w:p>
          <w:p w14:paraId="0B146471">
            <w:pPr>
              <w:pStyle w:val="8"/>
              <w:jc w:val="both"/>
              <w:rPr>
                <w:rFonts w:ascii="Times New Roman"/>
                <w:color w:val="auto"/>
                <w:sz w:val="20"/>
              </w:rPr>
            </w:pPr>
          </w:p>
          <w:p w14:paraId="5713B457">
            <w:pPr>
              <w:pStyle w:val="8"/>
              <w:jc w:val="both"/>
              <w:rPr>
                <w:rFonts w:ascii="Times New Roman"/>
                <w:color w:val="auto"/>
                <w:sz w:val="20"/>
              </w:rPr>
            </w:pPr>
          </w:p>
          <w:p w14:paraId="1AE11F53">
            <w:pPr>
              <w:pStyle w:val="8"/>
              <w:jc w:val="both"/>
              <w:rPr>
                <w:rFonts w:ascii="Times New Roman"/>
                <w:color w:val="auto"/>
                <w:sz w:val="20"/>
              </w:rPr>
            </w:pPr>
          </w:p>
          <w:p w14:paraId="0D1019ED">
            <w:pPr>
              <w:pStyle w:val="8"/>
              <w:jc w:val="both"/>
              <w:rPr>
                <w:rFonts w:ascii="Times New Roman"/>
                <w:color w:val="auto"/>
                <w:sz w:val="20"/>
              </w:rPr>
            </w:pPr>
          </w:p>
          <w:p w14:paraId="3FACCEC5">
            <w:pPr>
              <w:pStyle w:val="8"/>
              <w:jc w:val="both"/>
              <w:rPr>
                <w:rFonts w:ascii="Times New Roman"/>
                <w:color w:val="auto"/>
                <w:sz w:val="20"/>
              </w:rPr>
            </w:pPr>
          </w:p>
          <w:p w14:paraId="17DA599D">
            <w:pPr>
              <w:pStyle w:val="8"/>
              <w:spacing w:before="4"/>
              <w:jc w:val="both"/>
              <w:rPr>
                <w:rFonts w:ascii="Times New Roman"/>
                <w:color w:val="auto"/>
                <w:sz w:val="18"/>
              </w:rPr>
            </w:pPr>
          </w:p>
          <w:p w14:paraId="43FD0C13">
            <w:pPr>
              <w:pStyle w:val="8"/>
              <w:spacing w:before="1"/>
              <w:ind w:left="175"/>
              <w:jc w:val="both"/>
              <w:rPr>
                <w:b/>
                <w:color w:val="auto"/>
                <w:sz w:val="21"/>
              </w:rPr>
            </w:pPr>
            <w:r>
              <w:rPr>
                <w:b/>
                <w:color w:val="auto"/>
                <w:sz w:val="21"/>
              </w:rPr>
              <w:t>16</w:t>
            </w:r>
          </w:p>
        </w:tc>
        <w:tc>
          <w:tcPr>
            <w:tcW w:w="1184" w:type="dxa"/>
            <w:gridSpan w:val="2"/>
            <w:vAlign w:val="top"/>
          </w:tcPr>
          <w:p w14:paraId="650FDB03">
            <w:pPr>
              <w:pStyle w:val="8"/>
              <w:spacing w:before="9"/>
              <w:jc w:val="both"/>
              <w:rPr>
                <w:rFonts w:ascii="Times New Roman"/>
                <w:color w:val="auto"/>
                <w:sz w:val="17"/>
              </w:rPr>
            </w:pPr>
          </w:p>
          <w:p w14:paraId="5670D0B4">
            <w:pPr>
              <w:pStyle w:val="8"/>
              <w:ind w:left="170"/>
              <w:jc w:val="both"/>
              <w:rPr>
                <w:b/>
                <w:color w:val="auto"/>
                <w:sz w:val="21"/>
              </w:rPr>
            </w:pPr>
            <w:r>
              <w:rPr>
                <w:b/>
                <w:color w:val="auto"/>
                <w:sz w:val="21"/>
              </w:rPr>
              <w:t>违法行为</w:t>
            </w:r>
          </w:p>
        </w:tc>
        <w:tc>
          <w:tcPr>
            <w:tcW w:w="12046" w:type="dxa"/>
            <w:gridSpan w:val="4"/>
            <w:vAlign w:val="top"/>
          </w:tcPr>
          <w:p w14:paraId="1114F4C8">
            <w:pPr>
              <w:pStyle w:val="8"/>
              <w:spacing w:before="9"/>
              <w:jc w:val="both"/>
              <w:rPr>
                <w:rFonts w:ascii="Times New Roman"/>
                <w:color w:val="auto"/>
                <w:sz w:val="17"/>
              </w:rPr>
            </w:pPr>
          </w:p>
          <w:p w14:paraId="014D0438">
            <w:pPr>
              <w:pStyle w:val="8"/>
              <w:ind w:left="527"/>
              <w:jc w:val="both"/>
              <w:rPr>
                <w:color w:val="auto"/>
                <w:sz w:val="21"/>
              </w:rPr>
            </w:pPr>
            <w:r>
              <w:rPr>
                <w:color w:val="auto"/>
                <w:sz w:val="21"/>
              </w:rPr>
              <w:t>境外医疗器械注册人、备案人指定的我国境内企业法人未依照《医疗器械监督管理条例》规定履行相关义务的</w:t>
            </w:r>
          </w:p>
        </w:tc>
      </w:tr>
      <w:tr w14:paraId="0AFE4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trPr>
        <w:tc>
          <w:tcPr>
            <w:tcW w:w="562" w:type="dxa"/>
            <w:vMerge w:val="continue"/>
            <w:tcBorders>
              <w:top w:val="nil"/>
            </w:tcBorders>
            <w:vAlign w:val="top"/>
          </w:tcPr>
          <w:p w14:paraId="6828775E">
            <w:pPr>
              <w:jc w:val="both"/>
              <w:rPr>
                <w:color w:val="auto"/>
                <w:sz w:val="2"/>
                <w:szCs w:val="2"/>
              </w:rPr>
            </w:pPr>
          </w:p>
        </w:tc>
        <w:tc>
          <w:tcPr>
            <w:tcW w:w="1184" w:type="dxa"/>
            <w:gridSpan w:val="2"/>
            <w:vAlign w:val="top"/>
          </w:tcPr>
          <w:p w14:paraId="717355E7">
            <w:pPr>
              <w:pStyle w:val="8"/>
              <w:jc w:val="both"/>
              <w:rPr>
                <w:rFonts w:ascii="Times New Roman"/>
                <w:color w:val="auto"/>
                <w:sz w:val="20"/>
              </w:rPr>
            </w:pPr>
          </w:p>
          <w:p w14:paraId="3785448B">
            <w:pPr>
              <w:pStyle w:val="8"/>
              <w:jc w:val="both"/>
              <w:rPr>
                <w:rFonts w:ascii="Times New Roman"/>
                <w:color w:val="auto"/>
                <w:sz w:val="20"/>
              </w:rPr>
            </w:pPr>
          </w:p>
          <w:p w14:paraId="4CB2856A">
            <w:pPr>
              <w:pStyle w:val="8"/>
              <w:jc w:val="both"/>
              <w:rPr>
                <w:rFonts w:ascii="Times New Roman"/>
                <w:color w:val="auto"/>
                <w:sz w:val="27"/>
              </w:rPr>
            </w:pPr>
          </w:p>
          <w:p w14:paraId="5CD92B21">
            <w:pPr>
              <w:pStyle w:val="8"/>
              <w:spacing w:before="1"/>
              <w:ind w:left="170"/>
              <w:jc w:val="both"/>
              <w:rPr>
                <w:b/>
                <w:color w:val="auto"/>
                <w:sz w:val="21"/>
              </w:rPr>
            </w:pPr>
            <w:r>
              <w:rPr>
                <w:b/>
                <w:color w:val="auto"/>
                <w:sz w:val="21"/>
              </w:rPr>
              <w:t>处罚依据</w:t>
            </w:r>
          </w:p>
        </w:tc>
        <w:tc>
          <w:tcPr>
            <w:tcW w:w="12046" w:type="dxa"/>
            <w:gridSpan w:val="4"/>
            <w:vAlign w:val="top"/>
          </w:tcPr>
          <w:p w14:paraId="55AB1626">
            <w:pPr>
              <w:pStyle w:val="8"/>
              <w:jc w:val="both"/>
              <w:rPr>
                <w:rFonts w:ascii="Times New Roman"/>
                <w:color w:val="auto"/>
                <w:sz w:val="20"/>
              </w:rPr>
            </w:pPr>
          </w:p>
          <w:p w14:paraId="127525CF">
            <w:pPr>
              <w:pStyle w:val="8"/>
              <w:spacing w:before="5"/>
              <w:jc w:val="both"/>
              <w:rPr>
                <w:rFonts w:ascii="Times New Roman"/>
                <w:color w:val="auto"/>
                <w:sz w:val="23"/>
              </w:rPr>
            </w:pPr>
          </w:p>
          <w:p w14:paraId="3A0BE2BE">
            <w:pPr>
              <w:pStyle w:val="8"/>
              <w:spacing w:line="242" w:lineRule="auto"/>
              <w:ind w:left="107" w:right="95" w:firstLine="420"/>
              <w:jc w:val="both"/>
              <w:rPr>
                <w:color w:val="auto"/>
                <w:sz w:val="21"/>
              </w:rPr>
            </w:pPr>
            <w:r>
              <w:rPr>
                <w:color w:val="auto"/>
                <w:spacing w:val="-1"/>
                <w:sz w:val="21"/>
              </w:rPr>
              <w:t xml:space="preserve">根据《医疗器械监督管理条例》第九十八条规定，由省、自治区、直辖市人民政府药品监督管理部门责令改正，给予警告， </w:t>
            </w:r>
            <w:r>
              <w:rPr>
                <w:color w:val="auto"/>
                <w:spacing w:val="-16"/>
                <w:sz w:val="21"/>
              </w:rPr>
              <w:t xml:space="preserve">并处 </w:t>
            </w:r>
            <w:r>
              <w:rPr>
                <w:color w:val="auto"/>
                <w:sz w:val="21"/>
              </w:rPr>
              <w:t>5</w:t>
            </w:r>
            <w:r>
              <w:rPr>
                <w:color w:val="auto"/>
                <w:spacing w:val="-17"/>
                <w:sz w:val="21"/>
              </w:rPr>
              <w:t xml:space="preserve"> 万元以上 </w:t>
            </w:r>
            <w:r>
              <w:rPr>
                <w:color w:val="auto"/>
                <w:sz w:val="21"/>
              </w:rPr>
              <w:t>10</w:t>
            </w:r>
            <w:r>
              <w:rPr>
                <w:color w:val="auto"/>
                <w:spacing w:val="-11"/>
                <w:sz w:val="21"/>
              </w:rPr>
              <w:t xml:space="preserve"> 万元以下罚款；情节严重的，处 </w:t>
            </w:r>
            <w:r>
              <w:rPr>
                <w:color w:val="auto"/>
                <w:sz w:val="21"/>
              </w:rPr>
              <w:t>10</w:t>
            </w:r>
            <w:r>
              <w:rPr>
                <w:color w:val="auto"/>
                <w:spacing w:val="-17"/>
                <w:sz w:val="21"/>
              </w:rPr>
              <w:t xml:space="preserve"> 万元以上 </w:t>
            </w:r>
            <w:r>
              <w:rPr>
                <w:color w:val="auto"/>
                <w:sz w:val="21"/>
              </w:rPr>
              <w:t>50</w:t>
            </w:r>
            <w:r>
              <w:rPr>
                <w:color w:val="auto"/>
                <w:spacing w:val="-8"/>
                <w:sz w:val="21"/>
              </w:rPr>
              <w:t xml:space="preserve"> 万元以下罚款，</w:t>
            </w:r>
            <w:r>
              <w:rPr>
                <w:color w:val="auto"/>
                <w:sz w:val="21"/>
              </w:rPr>
              <w:t>5</w:t>
            </w:r>
            <w:r>
              <w:rPr>
                <w:color w:val="auto"/>
                <w:spacing w:val="-8"/>
                <w:sz w:val="21"/>
              </w:rPr>
              <w:t xml:space="preserve"> 年内禁止其法定代表人、主要负责人、直接</w:t>
            </w:r>
            <w:r>
              <w:rPr>
                <w:color w:val="auto"/>
                <w:spacing w:val="-5"/>
                <w:sz w:val="21"/>
              </w:rPr>
              <w:t>负责的主管人员和其他责任人员从事医疗器械生产经营活动。</w:t>
            </w:r>
          </w:p>
        </w:tc>
      </w:tr>
      <w:tr w14:paraId="744AD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2" w:type="dxa"/>
            <w:vMerge w:val="continue"/>
            <w:tcBorders>
              <w:top w:val="nil"/>
            </w:tcBorders>
            <w:vAlign w:val="top"/>
          </w:tcPr>
          <w:p w14:paraId="6A08D220">
            <w:pPr>
              <w:jc w:val="both"/>
              <w:rPr>
                <w:color w:val="auto"/>
                <w:sz w:val="2"/>
                <w:szCs w:val="2"/>
              </w:rPr>
            </w:pPr>
          </w:p>
        </w:tc>
        <w:tc>
          <w:tcPr>
            <w:tcW w:w="1184" w:type="dxa"/>
            <w:gridSpan w:val="2"/>
            <w:vAlign w:val="top"/>
          </w:tcPr>
          <w:p w14:paraId="1C3050F4">
            <w:pPr>
              <w:pStyle w:val="8"/>
              <w:spacing w:before="147"/>
              <w:ind w:left="170"/>
              <w:jc w:val="both"/>
              <w:rPr>
                <w:b/>
                <w:color w:val="auto"/>
                <w:sz w:val="21"/>
              </w:rPr>
            </w:pPr>
            <w:r>
              <w:rPr>
                <w:b/>
                <w:color w:val="auto"/>
                <w:sz w:val="21"/>
              </w:rPr>
              <w:t>裁量等级</w:t>
            </w:r>
          </w:p>
        </w:tc>
        <w:tc>
          <w:tcPr>
            <w:tcW w:w="2715" w:type="dxa"/>
            <w:vAlign w:val="top"/>
          </w:tcPr>
          <w:p w14:paraId="07A71FAD">
            <w:pPr>
              <w:pStyle w:val="8"/>
              <w:spacing w:before="147"/>
              <w:ind w:left="107"/>
              <w:jc w:val="both"/>
              <w:rPr>
                <w:b/>
                <w:color w:val="auto"/>
                <w:sz w:val="21"/>
              </w:rPr>
            </w:pPr>
            <w:r>
              <w:rPr>
                <w:b/>
                <w:color w:val="auto"/>
                <w:sz w:val="21"/>
              </w:rPr>
              <w:t>减轻</w:t>
            </w:r>
          </w:p>
        </w:tc>
        <w:tc>
          <w:tcPr>
            <w:tcW w:w="2714" w:type="dxa"/>
            <w:vAlign w:val="top"/>
          </w:tcPr>
          <w:p w14:paraId="71F2A9D9">
            <w:pPr>
              <w:pStyle w:val="8"/>
              <w:spacing w:before="147"/>
              <w:ind w:left="107"/>
              <w:jc w:val="both"/>
              <w:rPr>
                <w:b/>
                <w:color w:val="auto"/>
                <w:sz w:val="21"/>
              </w:rPr>
            </w:pPr>
            <w:r>
              <w:rPr>
                <w:b/>
                <w:color w:val="auto"/>
                <w:sz w:val="21"/>
              </w:rPr>
              <w:t>从轻</w:t>
            </w:r>
          </w:p>
        </w:tc>
        <w:tc>
          <w:tcPr>
            <w:tcW w:w="2717" w:type="dxa"/>
            <w:vAlign w:val="top"/>
          </w:tcPr>
          <w:p w14:paraId="44D0BF1F">
            <w:pPr>
              <w:pStyle w:val="8"/>
              <w:spacing w:before="147"/>
              <w:ind w:left="107"/>
              <w:jc w:val="both"/>
              <w:rPr>
                <w:b/>
                <w:color w:val="auto"/>
                <w:sz w:val="21"/>
              </w:rPr>
            </w:pPr>
            <w:r>
              <w:rPr>
                <w:b/>
                <w:color w:val="auto"/>
                <w:sz w:val="21"/>
              </w:rPr>
              <w:t>一般</w:t>
            </w:r>
          </w:p>
        </w:tc>
        <w:tc>
          <w:tcPr>
            <w:tcW w:w="3900" w:type="dxa"/>
            <w:vAlign w:val="top"/>
          </w:tcPr>
          <w:p w14:paraId="42CF1A2C">
            <w:pPr>
              <w:pStyle w:val="8"/>
              <w:spacing w:before="147"/>
              <w:ind w:left="105"/>
              <w:jc w:val="both"/>
              <w:rPr>
                <w:b/>
                <w:color w:val="auto"/>
                <w:sz w:val="21"/>
              </w:rPr>
            </w:pPr>
            <w:r>
              <w:rPr>
                <w:b/>
                <w:color w:val="auto"/>
                <w:sz w:val="21"/>
              </w:rPr>
              <w:t>从重</w:t>
            </w:r>
          </w:p>
        </w:tc>
      </w:tr>
      <w:tr w14:paraId="242E3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4F90A97C">
            <w:pPr>
              <w:jc w:val="both"/>
              <w:rPr>
                <w:color w:val="auto"/>
                <w:sz w:val="2"/>
                <w:szCs w:val="2"/>
              </w:rPr>
            </w:pPr>
          </w:p>
        </w:tc>
        <w:tc>
          <w:tcPr>
            <w:tcW w:w="1184" w:type="dxa"/>
            <w:gridSpan w:val="2"/>
            <w:vAlign w:val="top"/>
          </w:tcPr>
          <w:p w14:paraId="518787AC">
            <w:pPr>
              <w:pStyle w:val="8"/>
              <w:spacing w:before="3"/>
              <w:jc w:val="both"/>
              <w:rPr>
                <w:rFonts w:ascii="Times New Roman"/>
                <w:color w:val="auto"/>
                <w:sz w:val="20"/>
              </w:rPr>
            </w:pPr>
          </w:p>
          <w:p w14:paraId="183021AE">
            <w:pPr>
              <w:pStyle w:val="8"/>
              <w:spacing w:before="1"/>
              <w:ind w:left="170"/>
              <w:jc w:val="both"/>
              <w:rPr>
                <w:b/>
                <w:color w:val="auto"/>
                <w:sz w:val="21"/>
              </w:rPr>
            </w:pPr>
            <w:r>
              <w:rPr>
                <w:b/>
                <w:color w:val="auto"/>
                <w:sz w:val="21"/>
              </w:rPr>
              <w:t>裁量情节</w:t>
            </w:r>
          </w:p>
        </w:tc>
        <w:tc>
          <w:tcPr>
            <w:tcW w:w="2715" w:type="dxa"/>
            <w:vAlign w:val="top"/>
          </w:tcPr>
          <w:p w14:paraId="3A08AE9D">
            <w:pPr>
              <w:pStyle w:val="8"/>
              <w:spacing w:before="97" w:line="244" w:lineRule="auto"/>
              <w:ind w:left="107" w:right="98"/>
              <w:jc w:val="both"/>
              <w:rPr>
                <w:color w:val="auto"/>
                <w:sz w:val="21"/>
              </w:rPr>
            </w:pPr>
            <w:r>
              <w:rPr>
                <w:color w:val="auto"/>
                <w:sz w:val="21"/>
              </w:rPr>
              <w:t>符合裁量规定减轻行政处罚情形的。</w:t>
            </w:r>
          </w:p>
        </w:tc>
        <w:tc>
          <w:tcPr>
            <w:tcW w:w="2714" w:type="dxa"/>
            <w:vAlign w:val="top"/>
          </w:tcPr>
          <w:p w14:paraId="00176C61">
            <w:pPr>
              <w:pStyle w:val="8"/>
              <w:spacing w:before="97" w:line="244" w:lineRule="auto"/>
              <w:ind w:left="107" w:right="95"/>
              <w:jc w:val="both"/>
              <w:rPr>
                <w:color w:val="auto"/>
                <w:sz w:val="21"/>
              </w:rPr>
            </w:pPr>
            <w:r>
              <w:rPr>
                <w:color w:val="auto"/>
                <w:sz w:val="21"/>
              </w:rPr>
              <w:t>符合裁量规定从轻行政处罚情形的。</w:t>
            </w:r>
          </w:p>
        </w:tc>
        <w:tc>
          <w:tcPr>
            <w:tcW w:w="2717" w:type="dxa"/>
            <w:vAlign w:val="top"/>
          </w:tcPr>
          <w:p w14:paraId="4CFEEF57">
            <w:pPr>
              <w:pStyle w:val="8"/>
              <w:spacing w:before="97" w:line="244" w:lineRule="auto"/>
              <w:ind w:left="107" w:right="98"/>
              <w:jc w:val="both"/>
              <w:rPr>
                <w:color w:val="auto"/>
                <w:sz w:val="21"/>
              </w:rPr>
            </w:pPr>
            <w:r>
              <w:rPr>
                <w:color w:val="auto"/>
                <w:sz w:val="21"/>
              </w:rPr>
              <w:t>符合裁量规定一般行政处罚情形的。</w:t>
            </w:r>
          </w:p>
        </w:tc>
        <w:tc>
          <w:tcPr>
            <w:tcW w:w="3900" w:type="dxa"/>
            <w:vAlign w:val="top"/>
          </w:tcPr>
          <w:p w14:paraId="04E365CB">
            <w:pPr>
              <w:pStyle w:val="8"/>
              <w:spacing w:before="3"/>
              <w:jc w:val="both"/>
              <w:rPr>
                <w:rFonts w:ascii="Times New Roman"/>
                <w:color w:val="auto"/>
                <w:sz w:val="20"/>
              </w:rPr>
            </w:pPr>
          </w:p>
          <w:p w14:paraId="5B10696F">
            <w:pPr>
              <w:pStyle w:val="8"/>
              <w:spacing w:before="1"/>
              <w:ind w:left="105"/>
              <w:jc w:val="both"/>
              <w:rPr>
                <w:color w:val="auto"/>
                <w:sz w:val="21"/>
              </w:rPr>
            </w:pPr>
            <w:r>
              <w:rPr>
                <w:color w:val="auto"/>
                <w:sz w:val="21"/>
              </w:rPr>
              <w:t>符合裁量规定从重行政处罚情形的。</w:t>
            </w:r>
          </w:p>
        </w:tc>
      </w:tr>
      <w:tr w14:paraId="09447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7F3FCC3E">
            <w:pPr>
              <w:jc w:val="both"/>
              <w:rPr>
                <w:color w:val="auto"/>
                <w:sz w:val="2"/>
                <w:szCs w:val="2"/>
              </w:rPr>
            </w:pPr>
          </w:p>
        </w:tc>
        <w:tc>
          <w:tcPr>
            <w:tcW w:w="706" w:type="dxa"/>
            <w:vMerge w:val="restart"/>
            <w:vAlign w:val="top"/>
          </w:tcPr>
          <w:p w14:paraId="679D5475">
            <w:pPr>
              <w:pStyle w:val="8"/>
              <w:jc w:val="both"/>
              <w:rPr>
                <w:rFonts w:ascii="Times New Roman"/>
                <w:color w:val="auto"/>
                <w:sz w:val="20"/>
              </w:rPr>
            </w:pPr>
          </w:p>
          <w:p w14:paraId="70C96246">
            <w:pPr>
              <w:pStyle w:val="8"/>
              <w:jc w:val="both"/>
              <w:rPr>
                <w:rFonts w:ascii="Times New Roman"/>
                <w:color w:val="auto"/>
                <w:sz w:val="20"/>
              </w:rPr>
            </w:pPr>
          </w:p>
          <w:p w14:paraId="6AACCF1C">
            <w:pPr>
              <w:pStyle w:val="8"/>
              <w:jc w:val="both"/>
              <w:rPr>
                <w:rFonts w:ascii="Times New Roman"/>
                <w:color w:val="auto"/>
                <w:sz w:val="20"/>
              </w:rPr>
            </w:pPr>
          </w:p>
          <w:p w14:paraId="50B9E312">
            <w:pPr>
              <w:pStyle w:val="8"/>
              <w:jc w:val="both"/>
              <w:rPr>
                <w:rFonts w:ascii="Times New Roman"/>
                <w:color w:val="auto"/>
                <w:sz w:val="20"/>
              </w:rPr>
            </w:pPr>
          </w:p>
          <w:p w14:paraId="027D1740">
            <w:pPr>
              <w:pStyle w:val="8"/>
              <w:jc w:val="both"/>
              <w:rPr>
                <w:rFonts w:ascii="Times New Roman"/>
                <w:color w:val="auto"/>
                <w:sz w:val="20"/>
              </w:rPr>
            </w:pPr>
          </w:p>
          <w:p w14:paraId="4092861E">
            <w:pPr>
              <w:pStyle w:val="8"/>
              <w:jc w:val="both"/>
              <w:rPr>
                <w:rFonts w:ascii="Times New Roman"/>
                <w:color w:val="auto"/>
                <w:sz w:val="20"/>
              </w:rPr>
            </w:pPr>
          </w:p>
          <w:p w14:paraId="14A711DD">
            <w:pPr>
              <w:pStyle w:val="8"/>
              <w:spacing w:before="8"/>
              <w:jc w:val="both"/>
              <w:rPr>
                <w:rFonts w:ascii="Times New Roman"/>
                <w:color w:val="auto"/>
                <w:sz w:val="19"/>
              </w:rPr>
            </w:pPr>
          </w:p>
          <w:p w14:paraId="7B2EE42C">
            <w:pPr>
              <w:pStyle w:val="8"/>
              <w:spacing w:line="242" w:lineRule="auto"/>
              <w:ind w:left="141" w:right="130"/>
              <w:jc w:val="both"/>
              <w:rPr>
                <w:b/>
                <w:color w:val="auto"/>
                <w:sz w:val="21"/>
              </w:rPr>
            </w:pPr>
            <w:r>
              <w:rPr>
                <w:b/>
                <w:color w:val="auto"/>
                <w:sz w:val="21"/>
              </w:rPr>
              <w:t>裁量基准</w:t>
            </w:r>
          </w:p>
        </w:tc>
        <w:tc>
          <w:tcPr>
            <w:tcW w:w="478" w:type="dxa"/>
            <w:vAlign w:val="top"/>
          </w:tcPr>
          <w:p w14:paraId="21F00804">
            <w:pPr>
              <w:pStyle w:val="8"/>
              <w:jc w:val="both"/>
              <w:rPr>
                <w:rFonts w:ascii="Times New Roman"/>
                <w:color w:val="auto"/>
                <w:sz w:val="20"/>
              </w:rPr>
            </w:pPr>
          </w:p>
          <w:p w14:paraId="774313F5">
            <w:pPr>
              <w:pStyle w:val="8"/>
              <w:spacing w:before="162" w:line="242" w:lineRule="auto"/>
              <w:ind w:left="131" w:right="123"/>
              <w:jc w:val="both"/>
              <w:rPr>
                <w:b/>
                <w:color w:val="auto"/>
                <w:sz w:val="21"/>
              </w:rPr>
            </w:pPr>
            <w:r>
              <w:rPr>
                <w:b/>
                <w:color w:val="auto"/>
                <w:sz w:val="21"/>
              </w:rPr>
              <w:t>一般情形</w:t>
            </w:r>
          </w:p>
        </w:tc>
        <w:tc>
          <w:tcPr>
            <w:tcW w:w="2715" w:type="dxa"/>
            <w:vAlign w:val="top"/>
          </w:tcPr>
          <w:p w14:paraId="5EC7DFDF">
            <w:pPr>
              <w:pStyle w:val="8"/>
              <w:jc w:val="both"/>
              <w:rPr>
                <w:rFonts w:ascii="Times New Roman"/>
                <w:color w:val="auto"/>
                <w:sz w:val="20"/>
              </w:rPr>
            </w:pPr>
          </w:p>
          <w:p w14:paraId="7D9B35C1">
            <w:pPr>
              <w:pStyle w:val="8"/>
              <w:jc w:val="both"/>
              <w:rPr>
                <w:rFonts w:ascii="Times New Roman"/>
                <w:color w:val="auto"/>
                <w:sz w:val="20"/>
              </w:rPr>
            </w:pPr>
          </w:p>
          <w:p w14:paraId="1F9EC2A8">
            <w:pPr>
              <w:pStyle w:val="8"/>
              <w:spacing w:before="10"/>
              <w:jc w:val="both"/>
              <w:rPr>
                <w:rFonts w:ascii="Times New Roman"/>
                <w:color w:val="auto"/>
                <w:sz w:val="17"/>
              </w:rPr>
            </w:pPr>
          </w:p>
          <w:p w14:paraId="4E16AF76">
            <w:pPr>
              <w:pStyle w:val="8"/>
              <w:spacing w:line="242" w:lineRule="auto"/>
              <w:ind w:left="107" w:right="97"/>
              <w:jc w:val="both"/>
              <w:rPr>
                <w:color w:val="auto"/>
                <w:sz w:val="21"/>
              </w:rPr>
            </w:pPr>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7"/>
                <w:sz w:val="21"/>
              </w:rPr>
              <w:t xml:space="preserve"> 万元以下</w:t>
            </w:r>
            <w:r>
              <w:rPr>
                <w:color w:val="auto"/>
                <w:sz w:val="21"/>
              </w:rPr>
              <w:t>罚款。</w:t>
            </w:r>
          </w:p>
        </w:tc>
        <w:tc>
          <w:tcPr>
            <w:tcW w:w="2714" w:type="dxa"/>
            <w:vAlign w:val="top"/>
          </w:tcPr>
          <w:p w14:paraId="63C77409">
            <w:pPr>
              <w:pStyle w:val="8"/>
              <w:jc w:val="both"/>
              <w:rPr>
                <w:rFonts w:ascii="Times New Roman"/>
                <w:color w:val="auto"/>
                <w:sz w:val="20"/>
              </w:rPr>
            </w:pPr>
          </w:p>
          <w:p w14:paraId="28DBE665">
            <w:pPr>
              <w:pStyle w:val="8"/>
              <w:jc w:val="both"/>
              <w:rPr>
                <w:rFonts w:ascii="Times New Roman"/>
                <w:color w:val="auto"/>
                <w:sz w:val="20"/>
              </w:rPr>
            </w:pPr>
          </w:p>
          <w:p w14:paraId="1ED52EF8">
            <w:pPr>
              <w:pStyle w:val="8"/>
              <w:spacing w:before="10"/>
              <w:jc w:val="both"/>
              <w:rPr>
                <w:rFonts w:ascii="Times New Roman"/>
                <w:color w:val="auto"/>
                <w:sz w:val="17"/>
              </w:rPr>
            </w:pPr>
          </w:p>
          <w:p w14:paraId="23DEB18E">
            <w:pPr>
              <w:pStyle w:val="8"/>
              <w:spacing w:line="242" w:lineRule="auto"/>
              <w:ind w:left="107" w:right="94"/>
              <w:jc w:val="both"/>
              <w:rPr>
                <w:color w:val="auto"/>
                <w:sz w:val="21"/>
              </w:rPr>
            </w:pPr>
            <w:r>
              <w:rPr>
                <w:color w:val="auto"/>
                <w:spacing w:val="-28"/>
                <w:sz w:val="21"/>
              </w:rPr>
              <w:t xml:space="preserve">处 </w:t>
            </w:r>
            <w:r>
              <w:rPr>
                <w:color w:val="auto"/>
                <w:sz w:val="21"/>
              </w:rPr>
              <w:t>5</w:t>
            </w:r>
            <w:r>
              <w:rPr>
                <w:color w:val="auto"/>
                <w:spacing w:val="-21"/>
                <w:sz w:val="21"/>
              </w:rPr>
              <w:t xml:space="preserve"> 万元以上 </w:t>
            </w:r>
            <w:r>
              <w:rPr>
                <w:color w:val="auto"/>
                <w:sz w:val="21"/>
              </w:rPr>
              <w:t>6.5</w:t>
            </w:r>
            <w:r>
              <w:rPr>
                <w:color w:val="auto"/>
                <w:spacing w:val="-16"/>
                <w:sz w:val="21"/>
              </w:rPr>
              <w:t xml:space="preserve"> 万元以下</w:t>
            </w:r>
            <w:r>
              <w:rPr>
                <w:color w:val="auto"/>
                <w:sz w:val="21"/>
              </w:rPr>
              <w:t>罚款。</w:t>
            </w:r>
          </w:p>
        </w:tc>
        <w:tc>
          <w:tcPr>
            <w:tcW w:w="2717" w:type="dxa"/>
            <w:vAlign w:val="top"/>
          </w:tcPr>
          <w:p w14:paraId="07A604FB">
            <w:pPr>
              <w:pStyle w:val="8"/>
              <w:jc w:val="both"/>
              <w:rPr>
                <w:rFonts w:ascii="Times New Roman"/>
                <w:color w:val="auto"/>
                <w:sz w:val="20"/>
              </w:rPr>
            </w:pPr>
          </w:p>
          <w:p w14:paraId="5D0C1EF9">
            <w:pPr>
              <w:pStyle w:val="8"/>
              <w:jc w:val="both"/>
              <w:rPr>
                <w:rFonts w:ascii="Times New Roman"/>
                <w:color w:val="auto"/>
                <w:sz w:val="20"/>
              </w:rPr>
            </w:pPr>
          </w:p>
          <w:p w14:paraId="50938367">
            <w:pPr>
              <w:pStyle w:val="8"/>
              <w:spacing w:before="10"/>
              <w:jc w:val="both"/>
              <w:rPr>
                <w:rFonts w:ascii="Times New Roman"/>
                <w:color w:val="auto"/>
                <w:sz w:val="17"/>
              </w:rPr>
            </w:pPr>
          </w:p>
          <w:p w14:paraId="56F1918E">
            <w:pPr>
              <w:pStyle w:val="8"/>
              <w:spacing w:line="242" w:lineRule="auto"/>
              <w:ind w:left="107" w:right="96"/>
              <w:jc w:val="both"/>
              <w:rPr>
                <w:color w:val="auto"/>
                <w:sz w:val="21"/>
              </w:rPr>
            </w:pPr>
            <w:r>
              <w:rPr>
                <w:color w:val="auto"/>
                <w:spacing w:val="-28"/>
                <w:sz w:val="21"/>
              </w:rPr>
              <w:t xml:space="preserve">处 </w:t>
            </w:r>
            <w:r>
              <w:rPr>
                <w:color w:val="auto"/>
                <w:sz w:val="21"/>
              </w:rPr>
              <w:t>6.5</w:t>
            </w:r>
            <w:r>
              <w:rPr>
                <w:color w:val="auto"/>
                <w:spacing w:val="-20"/>
                <w:sz w:val="21"/>
              </w:rPr>
              <w:t xml:space="preserve"> 万元以上 </w:t>
            </w:r>
            <w:r>
              <w:rPr>
                <w:color w:val="auto"/>
                <w:sz w:val="21"/>
              </w:rPr>
              <w:t>8.5</w:t>
            </w:r>
            <w:r>
              <w:rPr>
                <w:color w:val="auto"/>
                <w:spacing w:val="-19"/>
                <w:sz w:val="21"/>
              </w:rPr>
              <w:t xml:space="preserve"> 万元以</w:t>
            </w:r>
            <w:r>
              <w:rPr>
                <w:color w:val="auto"/>
                <w:spacing w:val="-1"/>
                <w:sz w:val="21"/>
              </w:rPr>
              <w:t>下罚款。</w:t>
            </w:r>
          </w:p>
        </w:tc>
        <w:tc>
          <w:tcPr>
            <w:tcW w:w="3900" w:type="dxa"/>
            <w:vAlign w:val="top"/>
          </w:tcPr>
          <w:p w14:paraId="7E407522">
            <w:pPr>
              <w:pStyle w:val="8"/>
              <w:jc w:val="both"/>
              <w:rPr>
                <w:rFonts w:ascii="Times New Roman"/>
                <w:color w:val="auto"/>
                <w:sz w:val="20"/>
              </w:rPr>
            </w:pPr>
          </w:p>
          <w:p w14:paraId="7BA9D3E5">
            <w:pPr>
              <w:pStyle w:val="8"/>
              <w:jc w:val="both"/>
              <w:rPr>
                <w:rFonts w:ascii="Times New Roman"/>
                <w:color w:val="auto"/>
                <w:sz w:val="20"/>
              </w:rPr>
            </w:pPr>
          </w:p>
          <w:p w14:paraId="4E1386D3">
            <w:pPr>
              <w:pStyle w:val="8"/>
              <w:spacing w:before="9"/>
              <w:jc w:val="both"/>
              <w:rPr>
                <w:rFonts w:ascii="Times New Roman"/>
                <w:color w:val="auto"/>
                <w:sz w:val="29"/>
              </w:rPr>
            </w:pPr>
          </w:p>
          <w:p w14:paraId="3C394E10">
            <w:pPr>
              <w:pStyle w:val="8"/>
              <w:ind w:left="105"/>
              <w:jc w:val="both"/>
              <w:rPr>
                <w:color w:val="auto"/>
                <w:sz w:val="21"/>
              </w:rPr>
            </w:pPr>
            <w:r>
              <w:rPr>
                <w:color w:val="auto"/>
                <w:sz w:val="21"/>
              </w:rPr>
              <w:t>处 8.5 万元以上 10 万元以下罚款。</w:t>
            </w:r>
          </w:p>
        </w:tc>
      </w:tr>
      <w:tr w14:paraId="02878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36390DAD">
            <w:pPr>
              <w:jc w:val="both"/>
              <w:rPr>
                <w:color w:val="auto"/>
                <w:sz w:val="2"/>
                <w:szCs w:val="2"/>
              </w:rPr>
            </w:pPr>
          </w:p>
        </w:tc>
        <w:tc>
          <w:tcPr>
            <w:tcW w:w="706" w:type="dxa"/>
            <w:vMerge w:val="continue"/>
            <w:tcBorders>
              <w:top w:val="nil"/>
            </w:tcBorders>
            <w:vAlign w:val="top"/>
          </w:tcPr>
          <w:p w14:paraId="250B6DE9">
            <w:pPr>
              <w:jc w:val="both"/>
              <w:rPr>
                <w:color w:val="auto"/>
                <w:sz w:val="2"/>
                <w:szCs w:val="2"/>
              </w:rPr>
            </w:pPr>
          </w:p>
        </w:tc>
        <w:tc>
          <w:tcPr>
            <w:tcW w:w="478" w:type="dxa"/>
            <w:vAlign w:val="top"/>
          </w:tcPr>
          <w:p w14:paraId="091298B3">
            <w:pPr>
              <w:pStyle w:val="8"/>
              <w:spacing w:before="2"/>
              <w:jc w:val="both"/>
              <w:rPr>
                <w:rFonts w:ascii="Times New Roman"/>
                <w:color w:val="auto"/>
                <w:sz w:val="22"/>
              </w:rPr>
            </w:pPr>
          </w:p>
          <w:p w14:paraId="3056542A">
            <w:pPr>
              <w:pStyle w:val="8"/>
              <w:spacing w:line="242" w:lineRule="auto"/>
              <w:ind w:left="131" w:right="123"/>
              <w:jc w:val="both"/>
              <w:rPr>
                <w:b/>
                <w:color w:val="auto"/>
                <w:sz w:val="21"/>
              </w:rPr>
            </w:pPr>
            <w:r>
              <w:rPr>
                <w:b/>
                <w:color w:val="auto"/>
                <w:sz w:val="21"/>
              </w:rPr>
              <w:t>情节严重的</w:t>
            </w:r>
          </w:p>
        </w:tc>
        <w:tc>
          <w:tcPr>
            <w:tcW w:w="2715" w:type="dxa"/>
            <w:vAlign w:val="top"/>
          </w:tcPr>
          <w:p w14:paraId="1E26C1EA">
            <w:pPr>
              <w:pStyle w:val="8"/>
              <w:jc w:val="both"/>
              <w:rPr>
                <w:rFonts w:ascii="Times New Roman"/>
                <w:color w:val="auto"/>
                <w:sz w:val="20"/>
              </w:rPr>
            </w:pPr>
          </w:p>
        </w:tc>
        <w:tc>
          <w:tcPr>
            <w:tcW w:w="2714" w:type="dxa"/>
            <w:vAlign w:val="top"/>
          </w:tcPr>
          <w:p w14:paraId="151C1858">
            <w:pPr>
              <w:pStyle w:val="8"/>
              <w:jc w:val="both"/>
              <w:rPr>
                <w:rFonts w:ascii="Times New Roman"/>
                <w:color w:val="auto"/>
                <w:sz w:val="20"/>
              </w:rPr>
            </w:pPr>
          </w:p>
          <w:p w14:paraId="3A2F178E">
            <w:pPr>
              <w:pStyle w:val="8"/>
              <w:jc w:val="both"/>
              <w:rPr>
                <w:rFonts w:ascii="Times New Roman"/>
                <w:color w:val="auto"/>
                <w:sz w:val="20"/>
              </w:rPr>
            </w:pPr>
          </w:p>
          <w:p w14:paraId="2297A41D">
            <w:pPr>
              <w:pStyle w:val="8"/>
              <w:spacing w:before="10"/>
              <w:jc w:val="both"/>
              <w:rPr>
                <w:rFonts w:ascii="Times New Roman"/>
                <w:color w:val="auto"/>
                <w:sz w:val="17"/>
              </w:rPr>
            </w:pPr>
          </w:p>
          <w:p w14:paraId="508A7017">
            <w:pPr>
              <w:pStyle w:val="8"/>
              <w:spacing w:line="242" w:lineRule="auto"/>
              <w:ind w:left="107" w:right="94"/>
              <w:jc w:val="both"/>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22</w:t>
            </w:r>
            <w:r>
              <w:rPr>
                <w:color w:val="auto"/>
                <w:spacing w:val="-16"/>
                <w:sz w:val="21"/>
              </w:rPr>
              <w:t xml:space="preserve"> 万元以下</w:t>
            </w:r>
            <w:r>
              <w:rPr>
                <w:color w:val="auto"/>
                <w:sz w:val="21"/>
              </w:rPr>
              <w:t>罚款。</w:t>
            </w:r>
          </w:p>
        </w:tc>
        <w:tc>
          <w:tcPr>
            <w:tcW w:w="2717" w:type="dxa"/>
            <w:vAlign w:val="top"/>
          </w:tcPr>
          <w:p w14:paraId="1115125F">
            <w:pPr>
              <w:pStyle w:val="8"/>
              <w:jc w:val="both"/>
              <w:rPr>
                <w:rFonts w:ascii="Times New Roman"/>
                <w:color w:val="auto"/>
                <w:sz w:val="20"/>
              </w:rPr>
            </w:pPr>
          </w:p>
          <w:p w14:paraId="63264403">
            <w:pPr>
              <w:pStyle w:val="8"/>
              <w:jc w:val="both"/>
              <w:rPr>
                <w:rFonts w:ascii="Times New Roman"/>
                <w:color w:val="auto"/>
                <w:sz w:val="20"/>
              </w:rPr>
            </w:pPr>
          </w:p>
          <w:p w14:paraId="56B7E20F">
            <w:pPr>
              <w:pStyle w:val="8"/>
              <w:spacing w:before="10"/>
              <w:jc w:val="both"/>
              <w:rPr>
                <w:rFonts w:ascii="Times New Roman"/>
                <w:color w:val="auto"/>
                <w:sz w:val="17"/>
              </w:rPr>
            </w:pPr>
          </w:p>
          <w:p w14:paraId="0C9CE392">
            <w:pPr>
              <w:pStyle w:val="8"/>
              <w:spacing w:line="242" w:lineRule="auto"/>
              <w:ind w:left="107" w:right="96"/>
              <w:jc w:val="both"/>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万元以下</w:t>
            </w:r>
            <w:r>
              <w:rPr>
                <w:color w:val="auto"/>
                <w:sz w:val="21"/>
              </w:rPr>
              <w:t>罚款。</w:t>
            </w:r>
          </w:p>
        </w:tc>
        <w:tc>
          <w:tcPr>
            <w:tcW w:w="3900" w:type="dxa"/>
            <w:vAlign w:val="top"/>
          </w:tcPr>
          <w:p w14:paraId="4A692D62">
            <w:pPr>
              <w:pStyle w:val="8"/>
              <w:jc w:val="both"/>
              <w:rPr>
                <w:rFonts w:ascii="Times New Roman"/>
                <w:color w:val="auto"/>
                <w:sz w:val="20"/>
              </w:rPr>
            </w:pPr>
          </w:p>
          <w:p w14:paraId="25AC0A66">
            <w:pPr>
              <w:pStyle w:val="8"/>
              <w:jc w:val="both"/>
              <w:rPr>
                <w:rFonts w:ascii="Times New Roman"/>
                <w:color w:val="auto"/>
                <w:sz w:val="20"/>
              </w:rPr>
            </w:pPr>
          </w:p>
          <w:p w14:paraId="23B51E96">
            <w:pPr>
              <w:pStyle w:val="8"/>
              <w:spacing w:before="6"/>
              <w:jc w:val="both"/>
              <w:rPr>
                <w:rFonts w:ascii="Times New Roman"/>
                <w:color w:val="auto"/>
                <w:sz w:val="29"/>
              </w:rPr>
            </w:pPr>
          </w:p>
          <w:p w14:paraId="3E17672C">
            <w:pPr>
              <w:pStyle w:val="8"/>
              <w:ind w:left="105"/>
              <w:jc w:val="both"/>
              <w:rPr>
                <w:color w:val="auto"/>
                <w:sz w:val="21"/>
              </w:rPr>
            </w:pPr>
            <w:r>
              <w:rPr>
                <w:color w:val="auto"/>
                <w:sz w:val="21"/>
              </w:rPr>
              <w:t>处 38 万元以上 50 万元以下罚款。</w:t>
            </w:r>
          </w:p>
        </w:tc>
      </w:tr>
    </w:tbl>
    <w:p w14:paraId="63B89220">
      <w:pPr>
        <w:spacing w:after="0"/>
        <w:jc w:val="both"/>
        <w:rPr>
          <w:color w:val="auto"/>
          <w:sz w:val="21"/>
        </w:rPr>
        <w:sectPr>
          <w:pgSz w:w="16840" w:h="11910" w:orient="landscape"/>
          <w:pgMar w:top="1100" w:right="1400" w:bottom="1760" w:left="1400" w:header="0" w:footer="1572" w:gutter="0"/>
          <w:pgNumType w:fmt="numberInDash"/>
          <w:cols w:space="720" w:num="1"/>
        </w:sectPr>
      </w:pPr>
    </w:p>
    <w:p w14:paraId="1F8E7A72">
      <w:pPr>
        <w:pStyle w:val="4"/>
        <w:spacing w:before="1"/>
        <w:jc w:val="both"/>
        <w:rPr>
          <w:rFonts w:ascii="Times New Roman"/>
          <w:color w:val="auto"/>
          <w:sz w:val="22"/>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3：</w:t>
      </w:r>
    </w:p>
    <w:p w14:paraId="6D951056">
      <w:pPr>
        <w:pStyle w:val="2"/>
        <w:ind w:left="416" w:firstLine="880" w:firstLineChars="200"/>
        <w:jc w:val="both"/>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lang w:eastAsia="zh-CN"/>
        </w:rPr>
        <w:t>西藏</w:t>
      </w:r>
      <w:r>
        <w:rPr>
          <w:rFonts w:hint="eastAsia" w:ascii="方正小标宋简体" w:hAnsi="方正小标宋简体" w:eastAsia="方正小标宋简体" w:cs="方正小标宋简体"/>
          <w:color w:val="auto"/>
        </w:rPr>
        <w:t>自治区药品监督管理局化妆品行政处罚裁量基准（试行）</w:t>
      </w:r>
    </w:p>
    <w:p w14:paraId="244BC02E">
      <w:pPr>
        <w:pStyle w:val="4"/>
        <w:spacing w:before="18"/>
        <w:ind w:left="6360" w:right="6360"/>
        <w:jc w:val="both"/>
        <w:rPr>
          <w:rFonts w:hint="eastAsia" w:ascii="黑体" w:eastAsia="黑体"/>
          <w:color w:val="auto"/>
        </w:rPr>
      </w:pPr>
      <w:r>
        <w:rPr>
          <w:rFonts w:hint="eastAsia" w:ascii="黑体" w:eastAsia="黑体"/>
          <w:color w:val="auto"/>
        </w:rPr>
        <w:t>使用说明</w:t>
      </w:r>
    </w:p>
    <w:p w14:paraId="0202AED9">
      <w:pPr>
        <w:pStyle w:val="4"/>
        <w:jc w:val="both"/>
        <w:rPr>
          <w:rFonts w:ascii="黑体"/>
          <w:color w:val="auto"/>
        </w:rPr>
      </w:pPr>
    </w:p>
    <w:p w14:paraId="0A7860D6">
      <w:pPr>
        <w:pStyle w:val="4"/>
        <w:spacing w:before="2"/>
        <w:jc w:val="both"/>
        <w:rPr>
          <w:rFonts w:ascii="黑体"/>
          <w:color w:val="auto"/>
          <w:sz w:val="26"/>
        </w:rPr>
      </w:pPr>
    </w:p>
    <w:p w14:paraId="1CCD03FD">
      <w:pPr>
        <w:pStyle w:val="4"/>
        <w:spacing w:line="338" w:lineRule="auto"/>
        <w:ind w:left="131" w:right="129" w:firstLine="641"/>
        <w:jc w:val="both"/>
        <w:rPr>
          <w:color w:val="auto"/>
        </w:rPr>
      </w:pPr>
      <w:r>
        <w:rPr>
          <w:color w:val="auto"/>
        </w:rPr>
        <w:t>一、本基准只涉及化妆品行政处罚罚款自由裁量适用情形，警告、没收违法物品及违法所得、责令停产停业等不涉及自由裁量的，按照法律法规的规定进行适用。</w:t>
      </w:r>
    </w:p>
    <w:p w14:paraId="788911C4">
      <w:pPr>
        <w:pStyle w:val="4"/>
        <w:spacing w:line="338" w:lineRule="auto"/>
        <w:ind w:left="131" w:right="129" w:firstLine="641"/>
        <w:jc w:val="both"/>
        <w:rPr>
          <w:color w:val="auto"/>
        </w:rPr>
      </w:pPr>
      <w:r>
        <w:rPr>
          <w:color w:val="auto"/>
        </w:rPr>
        <w:t>二、本基准内容和语言表述与法律、法规、规章规定不一致的应当以法律、法规、规章规定为准。</w:t>
      </w:r>
    </w:p>
    <w:p w14:paraId="0B071C9F">
      <w:pPr>
        <w:pStyle w:val="4"/>
        <w:spacing w:line="408" w:lineRule="exact"/>
        <w:ind w:left="772"/>
        <w:jc w:val="both"/>
        <w:rPr>
          <w:color w:val="auto"/>
        </w:rPr>
      </w:pPr>
      <w:r>
        <w:rPr>
          <w:color w:val="auto"/>
          <w:spacing w:val="-13"/>
          <w:w w:val="99"/>
        </w:rPr>
        <w:t>三、本裁量基准中“以上”“以下”的含义如下：</w:t>
      </w:r>
    </w:p>
    <w:p w14:paraId="20758B8E">
      <w:pPr>
        <w:pStyle w:val="4"/>
        <w:spacing w:before="165"/>
        <w:ind w:left="772"/>
        <w:jc w:val="both"/>
        <w:rPr>
          <w:color w:val="auto"/>
        </w:rPr>
      </w:pPr>
      <w:r>
        <w:rPr>
          <w:color w:val="auto"/>
          <w:spacing w:val="2"/>
          <w:w w:val="99"/>
        </w:rPr>
        <w:t>（</w:t>
      </w:r>
      <w:r>
        <w:rPr>
          <w:color w:val="auto"/>
          <w:w w:val="99"/>
        </w:rPr>
        <w:t>一）</w:t>
      </w:r>
      <w:r>
        <w:rPr>
          <w:color w:val="auto"/>
          <w:spacing w:val="-12"/>
          <w:w w:val="99"/>
        </w:rPr>
        <w:t>减轻处罚的“以上”含本数，“以下”不含本数；</w:t>
      </w:r>
    </w:p>
    <w:p w14:paraId="21E9DD04">
      <w:pPr>
        <w:pStyle w:val="4"/>
        <w:spacing w:before="168"/>
        <w:ind w:left="772"/>
        <w:jc w:val="both"/>
        <w:rPr>
          <w:color w:val="auto"/>
        </w:rPr>
      </w:pPr>
      <w:r>
        <w:rPr>
          <w:color w:val="auto"/>
          <w:spacing w:val="2"/>
          <w:w w:val="99"/>
        </w:rPr>
        <w:t>（</w:t>
      </w:r>
      <w:r>
        <w:rPr>
          <w:color w:val="auto"/>
          <w:w w:val="99"/>
        </w:rPr>
        <w:t>二）</w:t>
      </w:r>
      <w:r>
        <w:rPr>
          <w:color w:val="auto"/>
          <w:spacing w:val="-13"/>
          <w:w w:val="99"/>
        </w:rPr>
        <w:t>从轻、从重处罚的“以上”“以下”均含本数；</w:t>
      </w:r>
    </w:p>
    <w:p w14:paraId="7CAC9980">
      <w:pPr>
        <w:pStyle w:val="4"/>
        <w:spacing w:before="166"/>
        <w:ind w:left="772"/>
        <w:jc w:val="both"/>
        <w:rPr>
          <w:color w:val="auto"/>
        </w:rPr>
      </w:pPr>
      <w:r>
        <w:rPr>
          <w:color w:val="auto"/>
          <w:spacing w:val="2"/>
          <w:w w:val="99"/>
        </w:rPr>
        <w:t>（</w:t>
      </w:r>
      <w:r>
        <w:rPr>
          <w:color w:val="auto"/>
          <w:w w:val="99"/>
        </w:rPr>
        <w:t>三）</w:t>
      </w:r>
      <w:r>
        <w:rPr>
          <w:color w:val="auto"/>
          <w:spacing w:val="-13"/>
          <w:w w:val="99"/>
        </w:rPr>
        <w:t>一般处罚的“以上”“以下”均不含本数。</w:t>
      </w:r>
    </w:p>
    <w:p w14:paraId="48627B4D">
      <w:pPr>
        <w:pStyle w:val="4"/>
        <w:spacing w:before="169" w:line="338" w:lineRule="auto"/>
        <w:ind w:left="131" w:right="129" w:firstLine="641"/>
        <w:jc w:val="both"/>
        <w:rPr>
          <w:color w:val="auto"/>
        </w:rPr>
      </w:pPr>
      <w:r>
        <w:rPr>
          <w:color w:val="auto"/>
        </w:rPr>
        <w:t>四、裁量基准栏中列明的罚款数据仅供参考。案件查办中涉及罚款的，应当依照《</w:t>
      </w:r>
      <w:r>
        <w:rPr>
          <w:rFonts w:hint="eastAsia"/>
          <w:color w:val="auto"/>
          <w:lang w:eastAsia="zh-CN"/>
        </w:rPr>
        <w:t>西藏</w:t>
      </w:r>
      <w:r>
        <w:rPr>
          <w:color w:val="auto"/>
        </w:rPr>
        <w:t>自治区药品监督管理局行政处罚裁量权适用规定》进行准确计算。</w:t>
      </w:r>
    </w:p>
    <w:p w14:paraId="5F275E79">
      <w:pPr>
        <w:spacing w:after="0" w:line="338" w:lineRule="auto"/>
        <w:jc w:val="both"/>
        <w:rPr>
          <w:color w:val="auto"/>
        </w:rPr>
        <w:sectPr>
          <w:pgSz w:w="16840" w:h="11910" w:orient="landscape"/>
          <w:pgMar w:top="1100" w:right="1400" w:bottom="1760" w:left="1400" w:header="0" w:footer="1572" w:gutter="0"/>
          <w:pgNumType w:fmt="numberInDash"/>
          <w:cols w:space="720" w:num="1"/>
        </w:sectPr>
      </w:pPr>
    </w:p>
    <w:p w14:paraId="6A9A7B78">
      <w:pPr>
        <w:pStyle w:val="4"/>
        <w:spacing w:before="2"/>
        <w:jc w:val="both"/>
        <w:rPr>
          <w:rFonts w:ascii="Times New Roman"/>
          <w:color w:val="auto"/>
          <w:sz w:val="26"/>
        </w:rPr>
      </w:pPr>
    </w:p>
    <w:tbl>
      <w:tblPr>
        <w:tblStyle w:val="6"/>
        <w:tblW w:w="13795"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652"/>
        <w:gridCol w:w="537"/>
        <w:gridCol w:w="2714"/>
        <w:gridCol w:w="2713"/>
        <w:gridCol w:w="2716"/>
        <w:gridCol w:w="3899"/>
      </w:tblGrid>
      <w:tr w14:paraId="24D93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564" w:type="dxa"/>
            <w:vMerge w:val="restart"/>
            <w:vAlign w:val="top"/>
          </w:tcPr>
          <w:p w14:paraId="069F79DA">
            <w:pPr>
              <w:pStyle w:val="8"/>
              <w:jc w:val="both"/>
              <w:rPr>
                <w:rFonts w:ascii="Times New Roman"/>
                <w:color w:val="auto"/>
                <w:sz w:val="20"/>
              </w:rPr>
            </w:pPr>
          </w:p>
          <w:p w14:paraId="1C8A8D16">
            <w:pPr>
              <w:pStyle w:val="8"/>
              <w:jc w:val="both"/>
              <w:rPr>
                <w:rFonts w:ascii="Times New Roman"/>
                <w:color w:val="auto"/>
                <w:sz w:val="20"/>
              </w:rPr>
            </w:pPr>
          </w:p>
          <w:p w14:paraId="272A57B7">
            <w:pPr>
              <w:pStyle w:val="8"/>
              <w:jc w:val="both"/>
              <w:rPr>
                <w:rFonts w:ascii="Times New Roman"/>
                <w:color w:val="auto"/>
                <w:sz w:val="20"/>
              </w:rPr>
            </w:pPr>
          </w:p>
          <w:p w14:paraId="30D1A027">
            <w:pPr>
              <w:pStyle w:val="8"/>
              <w:jc w:val="both"/>
              <w:rPr>
                <w:rFonts w:ascii="Times New Roman"/>
                <w:color w:val="auto"/>
                <w:sz w:val="20"/>
              </w:rPr>
            </w:pPr>
          </w:p>
          <w:p w14:paraId="3A323729">
            <w:pPr>
              <w:pStyle w:val="8"/>
              <w:jc w:val="both"/>
              <w:rPr>
                <w:rFonts w:ascii="Times New Roman"/>
                <w:color w:val="auto"/>
                <w:sz w:val="20"/>
              </w:rPr>
            </w:pPr>
          </w:p>
          <w:p w14:paraId="56A9EC13">
            <w:pPr>
              <w:pStyle w:val="8"/>
              <w:jc w:val="both"/>
              <w:rPr>
                <w:rFonts w:ascii="Times New Roman"/>
                <w:color w:val="auto"/>
                <w:sz w:val="20"/>
              </w:rPr>
            </w:pPr>
          </w:p>
          <w:p w14:paraId="7386F82A">
            <w:pPr>
              <w:pStyle w:val="8"/>
              <w:jc w:val="both"/>
              <w:rPr>
                <w:rFonts w:ascii="Times New Roman"/>
                <w:color w:val="auto"/>
                <w:sz w:val="20"/>
              </w:rPr>
            </w:pPr>
          </w:p>
          <w:p w14:paraId="01B007C1">
            <w:pPr>
              <w:pStyle w:val="8"/>
              <w:jc w:val="both"/>
              <w:rPr>
                <w:rFonts w:ascii="Times New Roman"/>
                <w:color w:val="auto"/>
                <w:sz w:val="20"/>
              </w:rPr>
            </w:pPr>
          </w:p>
          <w:p w14:paraId="570D7C9C">
            <w:pPr>
              <w:pStyle w:val="8"/>
              <w:jc w:val="both"/>
              <w:rPr>
                <w:rFonts w:ascii="Times New Roman"/>
                <w:color w:val="auto"/>
                <w:sz w:val="20"/>
              </w:rPr>
            </w:pPr>
          </w:p>
          <w:p w14:paraId="15C3EB9A">
            <w:pPr>
              <w:pStyle w:val="8"/>
              <w:jc w:val="both"/>
              <w:rPr>
                <w:rFonts w:ascii="Times New Roman"/>
                <w:color w:val="auto"/>
                <w:sz w:val="20"/>
              </w:rPr>
            </w:pPr>
          </w:p>
          <w:p w14:paraId="1D815B38">
            <w:pPr>
              <w:pStyle w:val="8"/>
              <w:jc w:val="both"/>
              <w:rPr>
                <w:rFonts w:ascii="Times New Roman"/>
                <w:color w:val="auto"/>
                <w:sz w:val="20"/>
              </w:rPr>
            </w:pPr>
          </w:p>
          <w:p w14:paraId="20957C09">
            <w:pPr>
              <w:pStyle w:val="8"/>
              <w:jc w:val="both"/>
              <w:rPr>
                <w:rFonts w:ascii="Times New Roman"/>
                <w:color w:val="auto"/>
                <w:sz w:val="20"/>
              </w:rPr>
            </w:pPr>
          </w:p>
          <w:p w14:paraId="213B4555">
            <w:pPr>
              <w:pStyle w:val="8"/>
              <w:jc w:val="both"/>
              <w:rPr>
                <w:rFonts w:ascii="Times New Roman"/>
                <w:color w:val="auto"/>
                <w:sz w:val="20"/>
              </w:rPr>
            </w:pPr>
          </w:p>
          <w:p w14:paraId="74444D5F">
            <w:pPr>
              <w:pStyle w:val="8"/>
              <w:jc w:val="both"/>
              <w:rPr>
                <w:rFonts w:ascii="Times New Roman"/>
                <w:color w:val="auto"/>
                <w:sz w:val="20"/>
              </w:rPr>
            </w:pPr>
          </w:p>
          <w:p w14:paraId="3BB3665D">
            <w:pPr>
              <w:pStyle w:val="8"/>
              <w:jc w:val="both"/>
              <w:rPr>
                <w:rFonts w:ascii="Times New Roman"/>
                <w:color w:val="auto"/>
                <w:sz w:val="20"/>
              </w:rPr>
            </w:pPr>
          </w:p>
          <w:p w14:paraId="4AD5855F">
            <w:pPr>
              <w:pStyle w:val="8"/>
              <w:spacing w:before="9"/>
              <w:jc w:val="both"/>
              <w:rPr>
                <w:rFonts w:ascii="Times New Roman"/>
                <w:color w:val="auto"/>
                <w:sz w:val="18"/>
              </w:rPr>
            </w:pPr>
          </w:p>
          <w:p w14:paraId="5203507D">
            <w:pPr>
              <w:pStyle w:val="8"/>
              <w:ind w:left="7"/>
              <w:jc w:val="center"/>
              <w:rPr>
                <w:b/>
                <w:color w:val="auto"/>
                <w:sz w:val="21"/>
              </w:rPr>
            </w:pPr>
            <w:r>
              <w:rPr>
                <w:b w:val="0"/>
                <w:bCs/>
                <w:color w:val="auto"/>
                <w:w w:val="99"/>
                <w:sz w:val="21"/>
              </w:rPr>
              <w:t>1</w:t>
            </w:r>
          </w:p>
        </w:tc>
        <w:tc>
          <w:tcPr>
            <w:tcW w:w="1189" w:type="dxa"/>
            <w:gridSpan w:val="2"/>
            <w:vAlign w:val="top"/>
          </w:tcPr>
          <w:p w14:paraId="4C41EF05">
            <w:pPr>
              <w:pStyle w:val="8"/>
              <w:jc w:val="both"/>
              <w:rPr>
                <w:rFonts w:ascii="Times New Roman"/>
                <w:color w:val="auto"/>
                <w:sz w:val="20"/>
              </w:rPr>
            </w:pPr>
          </w:p>
          <w:p w14:paraId="5596B543">
            <w:pPr>
              <w:pStyle w:val="8"/>
              <w:spacing w:before="8"/>
              <w:jc w:val="both"/>
              <w:rPr>
                <w:rFonts w:ascii="Times New Roman"/>
                <w:color w:val="auto"/>
                <w:sz w:val="15"/>
              </w:rPr>
            </w:pPr>
          </w:p>
          <w:p w14:paraId="11BE272F">
            <w:pPr>
              <w:pStyle w:val="8"/>
              <w:spacing w:before="1"/>
              <w:ind w:left="175"/>
              <w:jc w:val="both"/>
              <w:rPr>
                <w:b/>
                <w:color w:val="auto"/>
                <w:sz w:val="21"/>
              </w:rPr>
            </w:pPr>
            <w:r>
              <w:rPr>
                <w:b/>
                <w:color w:val="auto"/>
                <w:sz w:val="21"/>
              </w:rPr>
              <w:t>违法行为</w:t>
            </w:r>
          </w:p>
        </w:tc>
        <w:tc>
          <w:tcPr>
            <w:tcW w:w="12042" w:type="dxa"/>
            <w:gridSpan w:val="4"/>
            <w:vAlign w:val="top"/>
          </w:tcPr>
          <w:p w14:paraId="5D30059A">
            <w:pPr>
              <w:pStyle w:val="8"/>
              <w:spacing w:before="1" w:line="244" w:lineRule="auto"/>
              <w:ind w:right="1200"/>
              <w:jc w:val="both"/>
              <w:rPr>
                <w:color w:val="auto"/>
                <w:sz w:val="21"/>
              </w:rPr>
            </w:pPr>
            <w:r>
              <w:rPr>
                <w:color w:val="auto"/>
                <w:sz w:val="21"/>
              </w:rPr>
              <w:t>未经许可从事化妆品生产活动，或者化妆品注册人、备案人委托未取得相应化妆品生产许可的企业生产化妆品；生产经营或者进口未经注册的特殊化妆品；</w:t>
            </w:r>
          </w:p>
          <w:p w14:paraId="5CA50C0B">
            <w:pPr>
              <w:pStyle w:val="8"/>
              <w:spacing w:line="265" w:lineRule="exact"/>
              <w:ind w:right="-29"/>
              <w:jc w:val="both"/>
              <w:rPr>
                <w:color w:val="auto"/>
                <w:sz w:val="21"/>
              </w:rPr>
            </w:pPr>
            <w:r>
              <w:rPr>
                <w:color w:val="auto"/>
                <w:spacing w:val="-6"/>
                <w:sz w:val="21"/>
              </w:rPr>
              <w:t>使用禁止用于化妆品生产的原料、应当注册但未经注册的新原料生产化妆品，在化妆品中非法添加可能危害人体健康的物质，</w:t>
            </w:r>
            <w:r>
              <w:rPr>
                <w:color w:val="auto"/>
                <w:sz w:val="21"/>
              </w:rPr>
              <w:t>或者使用超过使用期限、废弃、回收的化妆品或者原料生产化妆品。</w:t>
            </w:r>
          </w:p>
        </w:tc>
      </w:tr>
      <w:tr w14:paraId="221AB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4" w:hRule="atLeast"/>
        </w:trPr>
        <w:tc>
          <w:tcPr>
            <w:tcW w:w="564" w:type="dxa"/>
            <w:vMerge w:val="continue"/>
            <w:tcBorders>
              <w:top w:val="nil"/>
            </w:tcBorders>
            <w:vAlign w:val="top"/>
          </w:tcPr>
          <w:p w14:paraId="0C5C4FD2">
            <w:pPr>
              <w:jc w:val="both"/>
              <w:rPr>
                <w:color w:val="auto"/>
                <w:sz w:val="2"/>
                <w:szCs w:val="2"/>
              </w:rPr>
            </w:pPr>
          </w:p>
        </w:tc>
        <w:tc>
          <w:tcPr>
            <w:tcW w:w="1189" w:type="dxa"/>
            <w:gridSpan w:val="2"/>
            <w:vAlign w:val="top"/>
          </w:tcPr>
          <w:p w14:paraId="3B1221FB">
            <w:pPr>
              <w:pStyle w:val="8"/>
              <w:jc w:val="both"/>
              <w:rPr>
                <w:rFonts w:ascii="Times New Roman"/>
                <w:color w:val="auto"/>
                <w:sz w:val="20"/>
              </w:rPr>
            </w:pPr>
          </w:p>
          <w:p w14:paraId="63F6DC99">
            <w:pPr>
              <w:pStyle w:val="8"/>
              <w:jc w:val="both"/>
              <w:rPr>
                <w:rFonts w:ascii="Times New Roman"/>
                <w:color w:val="auto"/>
                <w:sz w:val="20"/>
              </w:rPr>
            </w:pPr>
          </w:p>
          <w:p w14:paraId="10A7832F">
            <w:pPr>
              <w:pStyle w:val="8"/>
              <w:spacing w:before="9"/>
              <w:jc w:val="both"/>
              <w:rPr>
                <w:rFonts w:ascii="Times New Roman"/>
                <w:color w:val="auto"/>
                <w:sz w:val="19"/>
              </w:rPr>
            </w:pPr>
          </w:p>
          <w:p w14:paraId="58EF88A5">
            <w:pPr>
              <w:pStyle w:val="8"/>
              <w:ind w:left="175"/>
              <w:jc w:val="both"/>
              <w:rPr>
                <w:b/>
                <w:color w:val="auto"/>
                <w:sz w:val="21"/>
              </w:rPr>
            </w:pPr>
            <w:r>
              <w:rPr>
                <w:b/>
                <w:color w:val="auto"/>
                <w:sz w:val="21"/>
              </w:rPr>
              <w:t>处罚依据</w:t>
            </w:r>
          </w:p>
        </w:tc>
        <w:tc>
          <w:tcPr>
            <w:tcW w:w="12042" w:type="dxa"/>
            <w:gridSpan w:val="4"/>
            <w:vAlign w:val="top"/>
          </w:tcPr>
          <w:p w14:paraId="22A2E48F">
            <w:pPr>
              <w:pStyle w:val="8"/>
              <w:spacing w:before="0" w:line="242" w:lineRule="auto"/>
              <w:ind w:left="109" w:right="88" w:firstLine="0"/>
              <w:jc w:val="both"/>
              <w:rPr>
                <w:rFonts w:ascii="仿宋" w:hAnsi="仿宋" w:eastAsia="仿宋" w:cs="仿宋"/>
                <w:color w:val="auto"/>
                <w:spacing w:val="-8"/>
                <w:kern w:val="2"/>
                <w:sz w:val="21"/>
                <w:szCs w:val="22"/>
                <w:lang w:val="zh-CN" w:eastAsia="zh-CN" w:bidi="zh-CN"/>
              </w:rPr>
            </w:pPr>
            <w:r>
              <w:rPr>
                <w:color w:val="auto"/>
                <w:spacing w:val="-1"/>
                <w:sz w:val="21"/>
              </w:rPr>
              <w:t>根据《化妆品监督管理条例》第五十九条规定，由负责药品监督管理的部门没收违法所得、违法生产经营的化妆品和专门用</w:t>
            </w:r>
            <w:r>
              <w:rPr>
                <w:color w:val="auto"/>
                <w:spacing w:val="-8"/>
                <w:sz w:val="21"/>
              </w:rPr>
              <w:t xml:space="preserve">于违法生产经营的原料、包装材料、工具、设备等物品；违法生产经营的化妆品货值金额不足 </w:t>
            </w:r>
            <w:r>
              <w:rPr>
                <w:color w:val="auto"/>
                <w:sz w:val="21"/>
              </w:rPr>
              <w:t>1</w:t>
            </w:r>
            <w:r>
              <w:rPr>
                <w:color w:val="auto"/>
                <w:spacing w:val="-15"/>
                <w:sz w:val="21"/>
              </w:rPr>
              <w:t xml:space="preserve"> 万元的，并处 </w:t>
            </w:r>
            <w:r>
              <w:rPr>
                <w:color w:val="auto"/>
                <w:sz w:val="21"/>
              </w:rPr>
              <w:t>5</w:t>
            </w:r>
            <w:r>
              <w:rPr>
                <w:color w:val="auto"/>
                <w:spacing w:val="-17"/>
                <w:sz w:val="21"/>
              </w:rPr>
              <w:t xml:space="preserve"> 万元以上 </w:t>
            </w:r>
            <w:r>
              <w:rPr>
                <w:color w:val="auto"/>
                <w:sz w:val="21"/>
              </w:rPr>
              <w:t>15</w:t>
            </w:r>
            <w:r>
              <w:rPr>
                <w:color w:val="auto"/>
                <w:spacing w:val="-17"/>
                <w:sz w:val="21"/>
              </w:rPr>
              <w:t xml:space="preserve"> 万元</w:t>
            </w:r>
            <w:r>
              <w:rPr>
                <w:rFonts w:ascii="仿宋" w:hAnsi="仿宋" w:eastAsia="仿宋" w:cs="仿宋"/>
                <w:color w:val="auto"/>
                <w:spacing w:val="-8"/>
                <w:kern w:val="2"/>
                <w:sz w:val="21"/>
                <w:szCs w:val="22"/>
                <w:lang w:val="zh-CN" w:eastAsia="zh-CN" w:bidi="zh-CN"/>
              </w:rPr>
              <w:t>以下罚款；货值金额 1 万元以上的，并处货值金额 15 倍以上 30 倍以下罚款。情节严重的，责令停产停业、由备案部门取消备案或者由原发证部门吊销化妆品许可证件，10 年内不予办理其提出的化妆品备案或者受理其提出的化妆品行政许可申请，对违法单位的法定代表人或者主要负责人、直接负责的主管人员和其他直接责任人员处以其上一年度从本单位取得收入的 3 倍以上 5 倍以</w:t>
            </w:r>
          </w:p>
          <w:p w14:paraId="6E0ADA17">
            <w:pPr>
              <w:pStyle w:val="8"/>
              <w:spacing w:line="242" w:lineRule="auto"/>
              <w:ind w:left="109" w:right="88"/>
              <w:jc w:val="both"/>
              <w:rPr>
                <w:color w:val="auto"/>
                <w:sz w:val="21"/>
              </w:rPr>
            </w:pPr>
            <w:r>
              <w:rPr>
                <w:rFonts w:ascii="仿宋" w:hAnsi="仿宋" w:eastAsia="仿宋" w:cs="仿宋"/>
                <w:color w:val="auto"/>
                <w:spacing w:val="-8"/>
                <w:kern w:val="2"/>
                <w:sz w:val="21"/>
                <w:szCs w:val="22"/>
                <w:lang w:val="zh-CN" w:eastAsia="zh-CN" w:bidi="zh-CN"/>
              </w:rPr>
              <w:t>下罚款，终身禁止其从事化妆品生产经营活动。</w:t>
            </w:r>
          </w:p>
        </w:tc>
      </w:tr>
      <w:tr w14:paraId="20A76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4" w:type="dxa"/>
            <w:vMerge w:val="continue"/>
            <w:tcBorders>
              <w:top w:val="nil"/>
            </w:tcBorders>
            <w:vAlign w:val="top"/>
          </w:tcPr>
          <w:p w14:paraId="4B57EB81">
            <w:pPr>
              <w:jc w:val="both"/>
              <w:rPr>
                <w:color w:val="auto"/>
                <w:sz w:val="2"/>
                <w:szCs w:val="2"/>
              </w:rPr>
            </w:pPr>
          </w:p>
        </w:tc>
        <w:tc>
          <w:tcPr>
            <w:tcW w:w="1189" w:type="dxa"/>
            <w:gridSpan w:val="2"/>
            <w:vAlign w:val="top"/>
          </w:tcPr>
          <w:p w14:paraId="495FD7DE">
            <w:pPr>
              <w:pStyle w:val="8"/>
              <w:spacing w:before="150"/>
              <w:ind w:left="175"/>
              <w:jc w:val="both"/>
              <w:rPr>
                <w:b/>
                <w:color w:val="auto"/>
                <w:sz w:val="21"/>
              </w:rPr>
            </w:pPr>
            <w:r>
              <w:rPr>
                <w:b/>
                <w:color w:val="auto"/>
                <w:sz w:val="21"/>
              </w:rPr>
              <w:t>裁量等级</w:t>
            </w:r>
          </w:p>
        </w:tc>
        <w:tc>
          <w:tcPr>
            <w:tcW w:w="2714" w:type="dxa"/>
            <w:vAlign w:val="top"/>
          </w:tcPr>
          <w:p w14:paraId="0BFFBB68">
            <w:pPr>
              <w:pStyle w:val="8"/>
              <w:spacing w:before="150"/>
              <w:ind w:left="109"/>
              <w:jc w:val="both"/>
              <w:rPr>
                <w:b/>
                <w:color w:val="auto"/>
                <w:sz w:val="21"/>
              </w:rPr>
            </w:pPr>
            <w:r>
              <w:rPr>
                <w:b/>
                <w:color w:val="auto"/>
                <w:sz w:val="21"/>
              </w:rPr>
              <w:t>减轻</w:t>
            </w:r>
          </w:p>
        </w:tc>
        <w:tc>
          <w:tcPr>
            <w:tcW w:w="2713" w:type="dxa"/>
            <w:vAlign w:val="top"/>
          </w:tcPr>
          <w:p w14:paraId="350B80E7">
            <w:pPr>
              <w:pStyle w:val="8"/>
              <w:spacing w:before="150"/>
              <w:ind w:left="110"/>
              <w:jc w:val="both"/>
              <w:rPr>
                <w:b/>
                <w:color w:val="auto"/>
                <w:sz w:val="21"/>
              </w:rPr>
            </w:pPr>
            <w:r>
              <w:rPr>
                <w:b/>
                <w:color w:val="auto"/>
                <w:sz w:val="21"/>
              </w:rPr>
              <w:t>从轻</w:t>
            </w:r>
          </w:p>
        </w:tc>
        <w:tc>
          <w:tcPr>
            <w:tcW w:w="2716" w:type="dxa"/>
            <w:vAlign w:val="top"/>
          </w:tcPr>
          <w:p w14:paraId="53AF7D14">
            <w:pPr>
              <w:pStyle w:val="8"/>
              <w:spacing w:before="150"/>
              <w:ind w:left="111"/>
              <w:jc w:val="both"/>
              <w:rPr>
                <w:b/>
                <w:color w:val="auto"/>
                <w:sz w:val="21"/>
              </w:rPr>
            </w:pPr>
            <w:r>
              <w:rPr>
                <w:b/>
                <w:color w:val="auto"/>
                <w:sz w:val="21"/>
              </w:rPr>
              <w:t>一般</w:t>
            </w:r>
          </w:p>
        </w:tc>
        <w:tc>
          <w:tcPr>
            <w:tcW w:w="3899" w:type="dxa"/>
            <w:vAlign w:val="top"/>
          </w:tcPr>
          <w:p w14:paraId="52921E3C">
            <w:pPr>
              <w:pStyle w:val="8"/>
              <w:spacing w:before="150"/>
              <w:ind w:left="113"/>
              <w:jc w:val="both"/>
              <w:rPr>
                <w:b/>
                <w:color w:val="auto"/>
                <w:sz w:val="21"/>
              </w:rPr>
            </w:pPr>
            <w:r>
              <w:rPr>
                <w:b/>
                <w:color w:val="auto"/>
                <w:sz w:val="21"/>
              </w:rPr>
              <w:t>从重</w:t>
            </w:r>
          </w:p>
        </w:tc>
      </w:tr>
      <w:tr w14:paraId="786A3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4" w:type="dxa"/>
            <w:vMerge w:val="continue"/>
            <w:tcBorders>
              <w:top w:val="nil"/>
            </w:tcBorders>
            <w:vAlign w:val="top"/>
          </w:tcPr>
          <w:p w14:paraId="57638C37">
            <w:pPr>
              <w:jc w:val="both"/>
              <w:rPr>
                <w:color w:val="auto"/>
                <w:sz w:val="2"/>
                <w:szCs w:val="2"/>
              </w:rPr>
            </w:pPr>
          </w:p>
        </w:tc>
        <w:tc>
          <w:tcPr>
            <w:tcW w:w="1189" w:type="dxa"/>
            <w:gridSpan w:val="2"/>
            <w:vAlign w:val="top"/>
          </w:tcPr>
          <w:p w14:paraId="65C60A51">
            <w:pPr>
              <w:pStyle w:val="8"/>
              <w:spacing w:before="3"/>
              <w:jc w:val="both"/>
              <w:rPr>
                <w:rFonts w:ascii="Times New Roman"/>
                <w:color w:val="auto"/>
                <w:sz w:val="20"/>
              </w:rPr>
            </w:pPr>
          </w:p>
          <w:p w14:paraId="643573CD">
            <w:pPr>
              <w:pStyle w:val="8"/>
              <w:spacing w:before="1"/>
              <w:ind w:left="175"/>
              <w:jc w:val="both"/>
              <w:rPr>
                <w:b/>
                <w:color w:val="auto"/>
                <w:sz w:val="21"/>
              </w:rPr>
            </w:pPr>
            <w:r>
              <w:rPr>
                <w:b/>
                <w:color w:val="auto"/>
                <w:sz w:val="21"/>
              </w:rPr>
              <w:t>裁量情节</w:t>
            </w:r>
          </w:p>
        </w:tc>
        <w:tc>
          <w:tcPr>
            <w:tcW w:w="2714" w:type="dxa"/>
            <w:vAlign w:val="top"/>
          </w:tcPr>
          <w:p w14:paraId="040DF2E4">
            <w:pPr>
              <w:pStyle w:val="8"/>
              <w:spacing w:before="97" w:line="244" w:lineRule="auto"/>
              <w:ind w:left="109" w:right="95"/>
              <w:jc w:val="both"/>
              <w:rPr>
                <w:color w:val="auto"/>
                <w:sz w:val="21"/>
              </w:rPr>
            </w:pPr>
            <w:r>
              <w:rPr>
                <w:color w:val="auto"/>
                <w:sz w:val="21"/>
              </w:rPr>
              <w:t>符合裁量规定减轻行政处罚情形的。</w:t>
            </w:r>
          </w:p>
        </w:tc>
        <w:tc>
          <w:tcPr>
            <w:tcW w:w="2713" w:type="dxa"/>
            <w:vAlign w:val="top"/>
          </w:tcPr>
          <w:p w14:paraId="77BF3B6F">
            <w:pPr>
              <w:pStyle w:val="8"/>
              <w:spacing w:before="97" w:line="244" w:lineRule="auto"/>
              <w:ind w:left="110" w:right="91"/>
              <w:jc w:val="both"/>
              <w:rPr>
                <w:color w:val="auto"/>
                <w:sz w:val="21"/>
              </w:rPr>
            </w:pPr>
            <w:r>
              <w:rPr>
                <w:color w:val="auto"/>
                <w:sz w:val="21"/>
              </w:rPr>
              <w:t>符合裁量规定从轻行政处罚情形的。</w:t>
            </w:r>
          </w:p>
        </w:tc>
        <w:tc>
          <w:tcPr>
            <w:tcW w:w="2716" w:type="dxa"/>
            <w:vAlign w:val="top"/>
          </w:tcPr>
          <w:p w14:paraId="4A81F37E">
            <w:pPr>
              <w:pStyle w:val="8"/>
              <w:spacing w:before="97" w:line="244" w:lineRule="auto"/>
              <w:ind w:left="111" w:right="92"/>
              <w:jc w:val="both"/>
              <w:rPr>
                <w:color w:val="auto"/>
                <w:sz w:val="21"/>
              </w:rPr>
            </w:pPr>
            <w:r>
              <w:rPr>
                <w:color w:val="auto"/>
                <w:sz w:val="21"/>
              </w:rPr>
              <w:t>符合裁量规定一般行政处罚情形的。</w:t>
            </w:r>
          </w:p>
        </w:tc>
        <w:tc>
          <w:tcPr>
            <w:tcW w:w="3899" w:type="dxa"/>
            <w:vAlign w:val="top"/>
          </w:tcPr>
          <w:p w14:paraId="50B21F0F">
            <w:pPr>
              <w:pStyle w:val="8"/>
              <w:spacing w:before="3"/>
              <w:jc w:val="both"/>
              <w:rPr>
                <w:rFonts w:ascii="Times New Roman"/>
                <w:color w:val="auto"/>
                <w:sz w:val="20"/>
              </w:rPr>
            </w:pPr>
          </w:p>
          <w:p w14:paraId="7AF0F1CB">
            <w:pPr>
              <w:pStyle w:val="8"/>
              <w:spacing w:before="1"/>
              <w:ind w:left="113"/>
              <w:jc w:val="both"/>
              <w:rPr>
                <w:color w:val="auto"/>
                <w:sz w:val="21"/>
              </w:rPr>
            </w:pPr>
            <w:r>
              <w:rPr>
                <w:color w:val="auto"/>
                <w:sz w:val="21"/>
              </w:rPr>
              <w:t>符合裁量规定从重行政处罚情形的。</w:t>
            </w:r>
          </w:p>
        </w:tc>
      </w:tr>
      <w:tr w14:paraId="7C210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564" w:type="dxa"/>
            <w:vMerge w:val="continue"/>
            <w:tcBorders>
              <w:top w:val="nil"/>
            </w:tcBorders>
            <w:vAlign w:val="top"/>
          </w:tcPr>
          <w:p w14:paraId="2D6E2D2F">
            <w:pPr>
              <w:jc w:val="both"/>
              <w:rPr>
                <w:rFonts w:ascii="仿宋" w:hAnsi="仿宋" w:eastAsia="仿宋" w:cs="仿宋"/>
                <w:color w:val="auto"/>
                <w:spacing w:val="-8"/>
                <w:kern w:val="2"/>
                <w:sz w:val="21"/>
                <w:szCs w:val="22"/>
                <w:lang w:val="zh-CN" w:eastAsia="zh-CN" w:bidi="zh-CN"/>
              </w:rPr>
            </w:pPr>
          </w:p>
        </w:tc>
        <w:tc>
          <w:tcPr>
            <w:tcW w:w="652" w:type="dxa"/>
            <w:vMerge w:val="restart"/>
            <w:vAlign w:val="top"/>
          </w:tcPr>
          <w:p w14:paraId="1DD24D52">
            <w:pPr>
              <w:pStyle w:val="8"/>
              <w:jc w:val="both"/>
              <w:rPr>
                <w:rFonts w:ascii="仿宋" w:hAnsi="仿宋" w:eastAsia="仿宋" w:cs="仿宋"/>
                <w:color w:val="auto"/>
                <w:spacing w:val="-8"/>
                <w:kern w:val="2"/>
                <w:sz w:val="21"/>
                <w:szCs w:val="22"/>
                <w:lang w:val="zh-CN" w:eastAsia="zh-CN" w:bidi="zh-CN"/>
              </w:rPr>
            </w:pPr>
          </w:p>
          <w:p w14:paraId="4179DEB4">
            <w:pPr>
              <w:pStyle w:val="8"/>
              <w:jc w:val="both"/>
              <w:rPr>
                <w:rFonts w:ascii="仿宋" w:hAnsi="仿宋" w:eastAsia="仿宋" w:cs="仿宋"/>
                <w:color w:val="auto"/>
                <w:spacing w:val="-8"/>
                <w:kern w:val="2"/>
                <w:sz w:val="21"/>
                <w:szCs w:val="22"/>
                <w:lang w:val="zh-CN" w:eastAsia="zh-CN" w:bidi="zh-CN"/>
              </w:rPr>
            </w:pPr>
          </w:p>
          <w:p w14:paraId="0D1C3280">
            <w:pPr>
              <w:pStyle w:val="8"/>
              <w:jc w:val="both"/>
              <w:rPr>
                <w:rFonts w:ascii="仿宋" w:hAnsi="仿宋" w:eastAsia="仿宋" w:cs="仿宋"/>
                <w:color w:val="auto"/>
                <w:spacing w:val="-8"/>
                <w:kern w:val="2"/>
                <w:sz w:val="21"/>
                <w:szCs w:val="22"/>
                <w:lang w:val="zh-CN" w:eastAsia="zh-CN" w:bidi="zh-CN"/>
              </w:rPr>
            </w:pPr>
          </w:p>
          <w:p w14:paraId="10729C75">
            <w:pPr>
              <w:pStyle w:val="8"/>
              <w:jc w:val="both"/>
              <w:rPr>
                <w:rFonts w:ascii="仿宋" w:hAnsi="仿宋" w:eastAsia="仿宋" w:cs="仿宋"/>
                <w:color w:val="auto"/>
                <w:spacing w:val="-8"/>
                <w:kern w:val="2"/>
                <w:sz w:val="21"/>
                <w:szCs w:val="22"/>
                <w:lang w:val="zh-CN" w:eastAsia="zh-CN" w:bidi="zh-CN"/>
              </w:rPr>
            </w:pPr>
          </w:p>
          <w:p w14:paraId="47314EB9">
            <w:pPr>
              <w:pStyle w:val="8"/>
              <w:jc w:val="both"/>
              <w:rPr>
                <w:rFonts w:ascii="仿宋" w:hAnsi="仿宋" w:eastAsia="仿宋" w:cs="仿宋"/>
                <w:color w:val="auto"/>
                <w:spacing w:val="-8"/>
                <w:kern w:val="2"/>
                <w:sz w:val="21"/>
                <w:szCs w:val="22"/>
                <w:lang w:val="zh-CN" w:eastAsia="zh-CN" w:bidi="zh-CN"/>
              </w:rPr>
            </w:pPr>
          </w:p>
          <w:p w14:paraId="0D564AD9">
            <w:pPr>
              <w:pStyle w:val="8"/>
              <w:spacing w:before="8"/>
              <w:jc w:val="both"/>
              <w:rPr>
                <w:rFonts w:ascii="仿宋" w:hAnsi="仿宋" w:eastAsia="仿宋" w:cs="仿宋"/>
                <w:color w:val="auto"/>
                <w:spacing w:val="-8"/>
                <w:kern w:val="2"/>
                <w:sz w:val="21"/>
                <w:szCs w:val="22"/>
                <w:lang w:val="zh-CN" w:eastAsia="zh-CN" w:bidi="zh-CN"/>
              </w:rPr>
            </w:pPr>
          </w:p>
          <w:p w14:paraId="3150552A">
            <w:pPr>
              <w:pStyle w:val="8"/>
              <w:spacing w:line="244" w:lineRule="auto"/>
              <w:ind w:left="115" w:right="102"/>
              <w:jc w:val="both"/>
              <w:rPr>
                <w:rFonts w:ascii="仿宋" w:hAnsi="仿宋" w:eastAsia="仿宋" w:cs="仿宋"/>
                <w:color w:val="auto"/>
                <w:spacing w:val="-8"/>
                <w:kern w:val="2"/>
                <w:sz w:val="21"/>
                <w:szCs w:val="22"/>
                <w:lang w:val="zh-CN" w:eastAsia="zh-CN" w:bidi="zh-CN"/>
              </w:rPr>
            </w:pPr>
            <w:r>
              <w:rPr>
                <w:rFonts w:ascii="仿宋" w:hAnsi="仿宋" w:eastAsia="仿宋" w:cs="仿宋"/>
                <w:color w:val="auto"/>
                <w:spacing w:val="-8"/>
                <w:kern w:val="2"/>
                <w:sz w:val="21"/>
                <w:szCs w:val="22"/>
                <w:lang w:val="zh-CN" w:eastAsia="zh-CN" w:bidi="zh-CN"/>
              </w:rPr>
              <w:t>裁量基准</w:t>
            </w:r>
          </w:p>
        </w:tc>
        <w:tc>
          <w:tcPr>
            <w:tcW w:w="537" w:type="dxa"/>
            <w:vAlign w:val="top"/>
          </w:tcPr>
          <w:p w14:paraId="0463DED7">
            <w:pPr>
              <w:pStyle w:val="8"/>
              <w:spacing w:before="9"/>
              <w:jc w:val="both"/>
              <w:rPr>
                <w:rFonts w:ascii="仿宋" w:hAnsi="仿宋" w:eastAsia="仿宋" w:cs="仿宋"/>
                <w:color w:val="auto"/>
                <w:spacing w:val="-8"/>
                <w:kern w:val="2"/>
                <w:sz w:val="21"/>
                <w:szCs w:val="22"/>
                <w:lang w:val="zh-CN" w:eastAsia="zh-CN" w:bidi="zh-CN"/>
              </w:rPr>
            </w:pPr>
          </w:p>
          <w:p w14:paraId="0CB6791F">
            <w:pPr>
              <w:pStyle w:val="8"/>
              <w:spacing w:line="242" w:lineRule="auto"/>
              <w:ind w:left="164" w:right="149"/>
              <w:jc w:val="both"/>
              <w:rPr>
                <w:rFonts w:ascii="仿宋" w:hAnsi="仿宋" w:eastAsia="仿宋" w:cs="仿宋"/>
                <w:color w:val="auto"/>
                <w:spacing w:val="-8"/>
                <w:kern w:val="2"/>
                <w:sz w:val="21"/>
                <w:szCs w:val="22"/>
                <w:lang w:val="zh-CN" w:eastAsia="zh-CN" w:bidi="zh-CN"/>
              </w:rPr>
            </w:pPr>
            <w:r>
              <w:rPr>
                <w:rFonts w:ascii="仿宋" w:hAnsi="仿宋" w:eastAsia="仿宋" w:cs="仿宋"/>
                <w:color w:val="auto"/>
                <w:spacing w:val="-8"/>
                <w:kern w:val="2"/>
                <w:sz w:val="21"/>
                <w:szCs w:val="22"/>
                <w:lang w:val="zh-CN" w:eastAsia="zh-CN" w:bidi="zh-CN"/>
              </w:rPr>
              <w:t>一般情形</w:t>
            </w:r>
          </w:p>
        </w:tc>
        <w:tc>
          <w:tcPr>
            <w:tcW w:w="2714" w:type="dxa"/>
            <w:vAlign w:val="top"/>
          </w:tcPr>
          <w:p w14:paraId="359ED267">
            <w:pPr>
              <w:jc w:val="both"/>
              <w:rPr>
                <w:rFonts w:ascii="仿宋" w:hAnsi="仿宋" w:eastAsia="仿宋" w:cs="仿宋"/>
                <w:color w:val="auto"/>
                <w:spacing w:val="-8"/>
                <w:kern w:val="2"/>
                <w:sz w:val="21"/>
                <w:szCs w:val="22"/>
                <w:lang w:val="zh-CN" w:eastAsia="zh-CN" w:bidi="zh-CN"/>
              </w:rPr>
            </w:pPr>
            <w:r>
              <w:rPr>
                <w:rFonts w:ascii="仿宋" w:hAnsi="仿宋" w:eastAsia="仿宋" w:cs="仿宋"/>
                <w:color w:val="auto"/>
                <w:spacing w:val="-8"/>
                <w:kern w:val="2"/>
                <w:sz w:val="21"/>
                <w:szCs w:val="22"/>
                <w:lang w:val="zh-CN" w:eastAsia="zh-CN" w:bidi="zh-CN"/>
              </w:rPr>
              <w:t>货值金额不足 1 万元的，并处 0.5 万元以上 5 万元以下罚款；货值金额 1 万元以上的，并处货值金额 1.5 倍以上 15 倍以下罚款。</w:t>
            </w:r>
          </w:p>
        </w:tc>
        <w:tc>
          <w:tcPr>
            <w:tcW w:w="2713" w:type="dxa"/>
            <w:vAlign w:val="top"/>
          </w:tcPr>
          <w:p w14:paraId="7D61CF93">
            <w:pPr>
              <w:pStyle w:val="8"/>
              <w:spacing w:before="3"/>
              <w:jc w:val="both"/>
              <w:rPr>
                <w:rFonts w:ascii="仿宋" w:hAnsi="仿宋" w:eastAsia="仿宋" w:cs="仿宋"/>
                <w:color w:val="auto"/>
                <w:spacing w:val="-8"/>
                <w:kern w:val="2"/>
                <w:sz w:val="21"/>
                <w:szCs w:val="22"/>
                <w:lang w:val="zh-CN" w:eastAsia="zh-CN" w:bidi="zh-CN"/>
              </w:rPr>
            </w:pPr>
            <w:r>
              <w:rPr>
                <w:rFonts w:ascii="仿宋" w:hAnsi="仿宋" w:eastAsia="仿宋" w:cs="仿宋"/>
                <w:color w:val="auto"/>
                <w:spacing w:val="-8"/>
                <w:kern w:val="2"/>
                <w:sz w:val="21"/>
                <w:szCs w:val="22"/>
                <w:lang w:val="zh-CN" w:eastAsia="zh-CN" w:bidi="zh-CN"/>
              </w:rPr>
              <w:t>货值金额不足 1 万元的，并处 5 万元以上 8 万元以下罚款；货值金额 1 万元以上的，并处货值</w:t>
            </w:r>
            <w:r>
              <w:rPr>
                <w:rFonts w:hint="eastAsia" w:cs="仿宋"/>
                <w:color w:val="auto"/>
                <w:spacing w:val="-8"/>
                <w:kern w:val="2"/>
                <w:sz w:val="21"/>
                <w:szCs w:val="22"/>
                <w:lang w:val="zh-CN" w:eastAsia="zh-CN" w:bidi="zh-CN"/>
              </w:rPr>
              <w:t>金额</w:t>
            </w:r>
            <w:r>
              <w:rPr>
                <w:rFonts w:ascii="仿宋" w:hAnsi="仿宋" w:eastAsia="仿宋" w:cs="仿宋"/>
                <w:color w:val="auto"/>
                <w:spacing w:val="-8"/>
                <w:kern w:val="2"/>
                <w:sz w:val="21"/>
                <w:szCs w:val="22"/>
                <w:lang w:val="zh-CN" w:eastAsia="zh-CN" w:bidi="zh-CN"/>
              </w:rPr>
              <w:t>1</w:t>
            </w:r>
            <w:r>
              <w:rPr>
                <w:rFonts w:hint="eastAsia" w:ascii="仿宋" w:hAnsi="仿宋" w:eastAsia="仿宋" w:cs="仿宋"/>
                <w:color w:val="auto"/>
                <w:spacing w:val="-8"/>
                <w:kern w:val="2"/>
                <w:sz w:val="21"/>
                <w:szCs w:val="22"/>
                <w:lang w:val="en-US" w:eastAsia="zh-CN" w:bidi="zh-CN"/>
              </w:rPr>
              <w:t>5</w:t>
            </w:r>
            <w:r>
              <w:rPr>
                <w:rFonts w:ascii="仿宋" w:hAnsi="仿宋" w:eastAsia="仿宋" w:cs="仿宋"/>
                <w:color w:val="auto"/>
                <w:spacing w:val="-8"/>
                <w:kern w:val="2"/>
                <w:sz w:val="21"/>
                <w:szCs w:val="22"/>
                <w:lang w:val="zh-CN" w:eastAsia="zh-CN" w:bidi="zh-CN"/>
              </w:rPr>
              <w:t>倍以上19.5 倍以下罚款。</w:t>
            </w:r>
          </w:p>
        </w:tc>
        <w:tc>
          <w:tcPr>
            <w:tcW w:w="2716" w:type="dxa"/>
            <w:vAlign w:val="top"/>
          </w:tcPr>
          <w:p w14:paraId="0746F3E4">
            <w:pPr>
              <w:jc w:val="both"/>
              <w:rPr>
                <w:rFonts w:ascii="仿宋" w:hAnsi="仿宋" w:eastAsia="仿宋" w:cs="仿宋"/>
                <w:color w:val="auto"/>
                <w:spacing w:val="-8"/>
                <w:kern w:val="2"/>
                <w:sz w:val="21"/>
                <w:szCs w:val="22"/>
                <w:lang w:val="zh-CN" w:eastAsia="zh-CN" w:bidi="zh-CN"/>
              </w:rPr>
            </w:pPr>
            <w:r>
              <w:rPr>
                <w:rFonts w:ascii="仿宋" w:hAnsi="仿宋" w:eastAsia="仿宋" w:cs="仿宋"/>
                <w:color w:val="auto"/>
                <w:spacing w:val="-8"/>
                <w:kern w:val="2"/>
                <w:sz w:val="21"/>
                <w:szCs w:val="22"/>
                <w:lang w:val="zh-CN" w:eastAsia="zh-CN" w:bidi="zh-CN"/>
              </w:rPr>
              <w:t>货值金额不足 1 万元的，并处 8 万元以上 12 万元以下罚款；货值金额 1 万元以上的，并处货值金额 19.5 倍以上 25.5 倍以下罚款。</w:t>
            </w:r>
          </w:p>
        </w:tc>
        <w:tc>
          <w:tcPr>
            <w:tcW w:w="3899" w:type="dxa"/>
            <w:vAlign w:val="top"/>
          </w:tcPr>
          <w:p w14:paraId="422F9E3D">
            <w:pPr>
              <w:pStyle w:val="8"/>
              <w:spacing w:before="0"/>
              <w:ind w:left="113"/>
              <w:jc w:val="both"/>
              <w:rPr>
                <w:rFonts w:ascii="仿宋" w:hAnsi="仿宋" w:eastAsia="仿宋" w:cs="仿宋"/>
                <w:color w:val="auto"/>
                <w:spacing w:val="-8"/>
                <w:kern w:val="2"/>
                <w:sz w:val="21"/>
                <w:szCs w:val="22"/>
                <w:lang w:val="zh-CN" w:eastAsia="zh-CN" w:bidi="zh-CN"/>
              </w:rPr>
            </w:pPr>
          </w:p>
          <w:p w14:paraId="0DCDBEEE">
            <w:pPr>
              <w:jc w:val="both"/>
              <w:rPr>
                <w:rFonts w:ascii="仿宋" w:hAnsi="仿宋" w:eastAsia="仿宋" w:cs="仿宋"/>
                <w:color w:val="auto"/>
                <w:spacing w:val="-8"/>
                <w:kern w:val="2"/>
                <w:sz w:val="21"/>
                <w:szCs w:val="22"/>
                <w:lang w:val="zh-CN" w:eastAsia="zh-CN" w:bidi="zh-CN"/>
              </w:rPr>
            </w:pPr>
            <w:r>
              <w:rPr>
                <w:rFonts w:ascii="仿宋" w:hAnsi="仿宋" w:eastAsia="仿宋" w:cs="仿宋"/>
                <w:color w:val="auto"/>
                <w:spacing w:val="-8"/>
                <w:kern w:val="2"/>
                <w:sz w:val="21"/>
                <w:szCs w:val="22"/>
                <w:lang w:val="zh-CN" w:eastAsia="zh-CN" w:bidi="zh-CN"/>
              </w:rPr>
              <w:t>货值金额不足 1 万元的，并处 12 万元以上 15 万元以下罚款；货值金额 1 万元以上的，并处货值金额 25.5 倍以上 30 倍以下罚款。</w:t>
            </w:r>
          </w:p>
        </w:tc>
      </w:tr>
      <w:tr w14:paraId="76A81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trPr>
        <w:tc>
          <w:tcPr>
            <w:tcW w:w="564" w:type="dxa"/>
            <w:vMerge w:val="continue"/>
            <w:tcBorders>
              <w:top w:val="nil"/>
            </w:tcBorders>
            <w:vAlign w:val="top"/>
          </w:tcPr>
          <w:p w14:paraId="09315BE0">
            <w:pPr>
              <w:jc w:val="both"/>
              <w:rPr>
                <w:rFonts w:ascii="仿宋" w:hAnsi="仿宋" w:eastAsia="仿宋" w:cs="仿宋"/>
                <w:color w:val="auto"/>
                <w:spacing w:val="-8"/>
                <w:kern w:val="2"/>
                <w:sz w:val="21"/>
                <w:szCs w:val="22"/>
                <w:lang w:val="zh-CN" w:eastAsia="zh-CN" w:bidi="zh-CN"/>
              </w:rPr>
            </w:pPr>
          </w:p>
        </w:tc>
        <w:tc>
          <w:tcPr>
            <w:tcW w:w="652" w:type="dxa"/>
            <w:vMerge w:val="continue"/>
            <w:tcBorders>
              <w:top w:val="nil"/>
            </w:tcBorders>
            <w:vAlign w:val="top"/>
          </w:tcPr>
          <w:p w14:paraId="4FDFC948">
            <w:pPr>
              <w:jc w:val="both"/>
              <w:rPr>
                <w:rFonts w:ascii="仿宋" w:hAnsi="仿宋" w:eastAsia="仿宋" w:cs="仿宋"/>
                <w:color w:val="auto"/>
                <w:spacing w:val="-8"/>
                <w:kern w:val="2"/>
                <w:sz w:val="21"/>
                <w:szCs w:val="22"/>
                <w:lang w:val="zh-CN" w:eastAsia="zh-CN" w:bidi="zh-CN"/>
              </w:rPr>
            </w:pPr>
          </w:p>
        </w:tc>
        <w:tc>
          <w:tcPr>
            <w:tcW w:w="537" w:type="dxa"/>
            <w:vAlign w:val="top"/>
          </w:tcPr>
          <w:p w14:paraId="71A7F577">
            <w:pPr>
              <w:pStyle w:val="8"/>
              <w:spacing w:before="8"/>
              <w:jc w:val="both"/>
              <w:rPr>
                <w:rFonts w:ascii="仿宋" w:hAnsi="仿宋" w:eastAsia="仿宋" w:cs="仿宋"/>
                <w:color w:val="auto"/>
                <w:spacing w:val="-8"/>
                <w:kern w:val="2"/>
                <w:sz w:val="21"/>
                <w:szCs w:val="22"/>
                <w:lang w:val="zh-CN" w:eastAsia="zh-CN" w:bidi="zh-CN"/>
              </w:rPr>
            </w:pPr>
          </w:p>
          <w:p w14:paraId="2BEAC051">
            <w:pPr>
              <w:pStyle w:val="8"/>
              <w:spacing w:line="242" w:lineRule="auto"/>
              <w:ind w:left="164" w:right="149"/>
              <w:jc w:val="both"/>
              <w:rPr>
                <w:rFonts w:ascii="仿宋" w:hAnsi="仿宋" w:eastAsia="仿宋" w:cs="仿宋"/>
                <w:color w:val="auto"/>
                <w:spacing w:val="-8"/>
                <w:kern w:val="2"/>
                <w:sz w:val="21"/>
                <w:szCs w:val="22"/>
                <w:lang w:val="zh-CN" w:eastAsia="zh-CN" w:bidi="zh-CN"/>
              </w:rPr>
            </w:pPr>
            <w:r>
              <w:rPr>
                <w:rFonts w:ascii="仿宋" w:hAnsi="仿宋" w:eastAsia="仿宋" w:cs="仿宋"/>
                <w:color w:val="auto"/>
                <w:spacing w:val="-8"/>
                <w:kern w:val="2"/>
                <w:sz w:val="21"/>
                <w:szCs w:val="22"/>
                <w:lang w:val="zh-CN" w:eastAsia="zh-CN" w:bidi="zh-CN"/>
              </w:rPr>
              <w:t>情节严重的</w:t>
            </w:r>
          </w:p>
        </w:tc>
        <w:tc>
          <w:tcPr>
            <w:tcW w:w="2714" w:type="dxa"/>
            <w:vAlign w:val="top"/>
          </w:tcPr>
          <w:p w14:paraId="5B2DA7D3">
            <w:pPr>
              <w:pStyle w:val="8"/>
              <w:jc w:val="both"/>
              <w:rPr>
                <w:rFonts w:ascii="仿宋" w:hAnsi="仿宋" w:eastAsia="仿宋" w:cs="仿宋"/>
                <w:color w:val="auto"/>
                <w:spacing w:val="-8"/>
                <w:kern w:val="2"/>
                <w:sz w:val="21"/>
                <w:szCs w:val="22"/>
                <w:lang w:val="zh-CN" w:eastAsia="zh-CN" w:bidi="zh-CN"/>
              </w:rPr>
            </w:pPr>
          </w:p>
        </w:tc>
        <w:tc>
          <w:tcPr>
            <w:tcW w:w="2713" w:type="dxa"/>
            <w:vAlign w:val="top"/>
          </w:tcPr>
          <w:p w14:paraId="159E4FAF">
            <w:pPr>
              <w:pStyle w:val="8"/>
              <w:spacing w:before="92" w:line="242" w:lineRule="auto"/>
              <w:ind w:left="110" w:right="89"/>
              <w:jc w:val="both"/>
              <w:rPr>
                <w:rFonts w:ascii="仿宋" w:hAnsi="仿宋" w:eastAsia="仿宋" w:cs="仿宋"/>
                <w:color w:val="auto"/>
                <w:spacing w:val="-8"/>
                <w:kern w:val="2"/>
                <w:sz w:val="21"/>
                <w:szCs w:val="22"/>
                <w:lang w:val="zh-CN" w:eastAsia="zh-CN" w:bidi="zh-CN"/>
              </w:rPr>
            </w:pPr>
            <w:r>
              <w:rPr>
                <w:rFonts w:ascii="仿宋" w:hAnsi="仿宋" w:eastAsia="仿宋" w:cs="仿宋"/>
                <w:color w:val="auto"/>
                <w:spacing w:val="-8"/>
                <w:kern w:val="2"/>
                <w:sz w:val="21"/>
                <w:szCs w:val="22"/>
                <w:lang w:val="zh-CN" w:eastAsia="zh-CN" w:bidi="zh-CN"/>
              </w:rPr>
              <w:t>对法定代表人或者主要负责人、直接负责的主管人员和其他直接责任人员处以其上一年度从本单位取得收入的 3 倍以上 3.6 倍以下罚款。</w:t>
            </w:r>
          </w:p>
        </w:tc>
        <w:tc>
          <w:tcPr>
            <w:tcW w:w="2716" w:type="dxa"/>
            <w:vAlign w:val="top"/>
          </w:tcPr>
          <w:p w14:paraId="68B28397">
            <w:pPr>
              <w:pStyle w:val="8"/>
              <w:spacing w:before="92" w:line="242" w:lineRule="auto"/>
              <w:ind w:left="111" w:right="90"/>
              <w:jc w:val="both"/>
              <w:rPr>
                <w:rFonts w:ascii="仿宋" w:hAnsi="仿宋" w:eastAsia="仿宋" w:cs="仿宋"/>
                <w:color w:val="auto"/>
                <w:spacing w:val="-8"/>
                <w:kern w:val="2"/>
                <w:sz w:val="21"/>
                <w:szCs w:val="22"/>
                <w:lang w:val="zh-CN" w:eastAsia="zh-CN" w:bidi="zh-CN"/>
              </w:rPr>
            </w:pPr>
            <w:r>
              <w:rPr>
                <w:rFonts w:ascii="仿宋" w:hAnsi="仿宋" w:eastAsia="仿宋" w:cs="仿宋"/>
                <w:color w:val="auto"/>
                <w:spacing w:val="-8"/>
                <w:kern w:val="2"/>
                <w:sz w:val="21"/>
                <w:szCs w:val="22"/>
                <w:lang w:val="zh-CN" w:eastAsia="zh-CN" w:bidi="zh-CN"/>
              </w:rPr>
              <w:t>对法定代表人或者主要负责人、直接负责的主管人员和其他直接责任人员处以其上一年度从本单位取得收入的 3.6 倍以上 4.4 倍以下罚款。</w:t>
            </w:r>
          </w:p>
        </w:tc>
        <w:tc>
          <w:tcPr>
            <w:tcW w:w="3899" w:type="dxa"/>
            <w:vAlign w:val="top"/>
          </w:tcPr>
          <w:p w14:paraId="29FFD221">
            <w:pPr>
              <w:jc w:val="both"/>
              <w:rPr>
                <w:rFonts w:ascii="仿宋" w:hAnsi="仿宋" w:eastAsia="仿宋" w:cs="仿宋"/>
                <w:color w:val="auto"/>
                <w:spacing w:val="-8"/>
                <w:kern w:val="2"/>
                <w:sz w:val="21"/>
                <w:szCs w:val="22"/>
                <w:lang w:val="zh-CN" w:eastAsia="zh-CN" w:bidi="zh-CN"/>
              </w:rPr>
            </w:pPr>
          </w:p>
          <w:p w14:paraId="7176B22B">
            <w:pPr>
              <w:jc w:val="both"/>
              <w:rPr>
                <w:rFonts w:ascii="仿宋" w:hAnsi="仿宋" w:eastAsia="仿宋" w:cs="仿宋"/>
                <w:color w:val="auto"/>
                <w:spacing w:val="-8"/>
                <w:kern w:val="2"/>
                <w:sz w:val="21"/>
                <w:szCs w:val="22"/>
                <w:lang w:val="zh-CN" w:eastAsia="zh-CN" w:bidi="zh-CN"/>
              </w:rPr>
            </w:pPr>
            <w:r>
              <w:rPr>
                <w:rFonts w:ascii="仿宋" w:hAnsi="仿宋" w:eastAsia="仿宋" w:cs="仿宋"/>
                <w:color w:val="auto"/>
                <w:spacing w:val="-8"/>
                <w:kern w:val="2"/>
                <w:sz w:val="21"/>
                <w:szCs w:val="22"/>
                <w:lang w:val="zh-CN" w:eastAsia="zh-CN" w:bidi="zh-CN"/>
              </w:rPr>
              <w:t>对法定代表人或者主要负责人、直接负责的主管人员和其他直接责任人员处以其上一年度从本单位取得收入的 4.4 倍以上 5 倍以下罚款。</w:t>
            </w:r>
          </w:p>
        </w:tc>
      </w:tr>
    </w:tbl>
    <w:p w14:paraId="78ECF215">
      <w:pPr>
        <w:spacing w:after="0"/>
        <w:jc w:val="both"/>
        <w:rPr>
          <w:rFonts w:ascii="仿宋" w:hAnsi="仿宋" w:eastAsia="仿宋" w:cs="仿宋"/>
          <w:color w:val="auto"/>
          <w:spacing w:val="-8"/>
          <w:kern w:val="2"/>
          <w:sz w:val="21"/>
          <w:szCs w:val="22"/>
          <w:lang w:val="zh-CN" w:eastAsia="zh-CN" w:bidi="zh-CN"/>
        </w:rPr>
        <w:sectPr>
          <w:pgSz w:w="16840" w:h="11910" w:orient="landscape"/>
          <w:pgMar w:top="1100" w:right="1400" w:bottom="1760" w:left="1400" w:header="0" w:footer="1572" w:gutter="0"/>
          <w:pgNumType w:fmt="numberInDash"/>
          <w:cols w:space="720" w:num="1"/>
        </w:sectPr>
      </w:pPr>
    </w:p>
    <w:tbl>
      <w:tblPr>
        <w:tblStyle w:val="6"/>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06"/>
        <w:gridCol w:w="478"/>
        <w:gridCol w:w="2715"/>
        <w:gridCol w:w="2714"/>
        <w:gridCol w:w="2717"/>
        <w:gridCol w:w="3900"/>
      </w:tblGrid>
      <w:tr w14:paraId="3C90C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4" w:hRule="atLeast"/>
        </w:trPr>
        <w:tc>
          <w:tcPr>
            <w:tcW w:w="562" w:type="dxa"/>
            <w:vMerge w:val="restart"/>
            <w:vAlign w:val="top"/>
          </w:tcPr>
          <w:p w14:paraId="33CDD673">
            <w:pPr>
              <w:pStyle w:val="8"/>
              <w:jc w:val="both"/>
              <w:rPr>
                <w:rFonts w:ascii="Times New Roman"/>
                <w:color w:val="auto"/>
                <w:sz w:val="20"/>
              </w:rPr>
            </w:pPr>
          </w:p>
          <w:p w14:paraId="4F89A746">
            <w:pPr>
              <w:pStyle w:val="8"/>
              <w:jc w:val="both"/>
              <w:rPr>
                <w:rFonts w:ascii="Times New Roman"/>
                <w:color w:val="auto"/>
                <w:sz w:val="20"/>
              </w:rPr>
            </w:pPr>
          </w:p>
          <w:p w14:paraId="64CA1D36">
            <w:pPr>
              <w:pStyle w:val="8"/>
              <w:jc w:val="both"/>
              <w:rPr>
                <w:rFonts w:ascii="Times New Roman"/>
                <w:color w:val="auto"/>
                <w:sz w:val="20"/>
              </w:rPr>
            </w:pPr>
          </w:p>
          <w:p w14:paraId="778FD9A5">
            <w:pPr>
              <w:pStyle w:val="8"/>
              <w:jc w:val="both"/>
              <w:rPr>
                <w:rFonts w:ascii="Times New Roman"/>
                <w:color w:val="auto"/>
                <w:sz w:val="20"/>
              </w:rPr>
            </w:pPr>
          </w:p>
          <w:p w14:paraId="6E8DA035">
            <w:pPr>
              <w:pStyle w:val="8"/>
              <w:jc w:val="both"/>
              <w:rPr>
                <w:rFonts w:ascii="Times New Roman"/>
                <w:color w:val="auto"/>
                <w:sz w:val="20"/>
              </w:rPr>
            </w:pPr>
          </w:p>
          <w:p w14:paraId="40E8C2BB">
            <w:pPr>
              <w:pStyle w:val="8"/>
              <w:jc w:val="both"/>
              <w:rPr>
                <w:rFonts w:ascii="Times New Roman"/>
                <w:color w:val="auto"/>
                <w:sz w:val="20"/>
              </w:rPr>
            </w:pPr>
          </w:p>
          <w:p w14:paraId="5F9C9E94">
            <w:pPr>
              <w:pStyle w:val="8"/>
              <w:jc w:val="both"/>
              <w:rPr>
                <w:rFonts w:ascii="Times New Roman"/>
                <w:color w:val="auto"/>
                <w:sz w:val="20"/>
              </w:rPr>
            </w:pPr>
          </w:p>
          <w:p w14:paraId="2EBA9768">
            <w:pPr>
              <w:pStyle w:val="8"/>
              <w:jc w:val="both"/>
              <w:rPr>
                <w:rFonts w:ascii="Times New Roman"/>
                <w:color w:val="auto"/>
                <w:sz w:val="20"/>
              </w:rPr>
            </w:pPr>
          </w:p>
          <w:p w14:paraId="3B4D1808">
            <w:pPr>
              <w:pStyle w:val="8"/>
              <w:jc w:val="both"/>
              <w:rPr>
                <w:rFonts w:ascii="Times New Roman"/>
                <w:color w:val="auto"/>
                <w:sz w:val="20"/>
              </w:rPr>
            </w:pPr>
          </w:p>
          <w:p w14:paraId="6CFE94D9">
            <w:pPr>
              <w:pStyle w:val="8"/>
              <w:jc w:val="both"/>
              <w:rPr>
                <w:rFonts w:ascii="Times New Roman"/>
                <w:color w:val="auto"/>
                <w:sz w:val="20"/>
              </w:rPr>
            </w:pPr>
          </w:p>
          <w:p w14:paraId="54A0D959">
            <w:pPr>
              <w:pStyle w:val="8"/>
              <w:jc w:val="both"/>
              <w:rPr>
                <w:rFonts w:ascii="Times New Roman"/>
                <w:color w:val="auto"/>
                <w:sz w:val="20"/>
              </w:rPr>
            </w:pPr>
          </w:p>
          <w:p w14:paraId="05A97C96">
            <w:pPr>
              <w:pStyle w:val="8"/>
              <w:jc w:val="both"/>
              <w:rPr>
                <w:rFonts w:ascii="Times New Roman"/>
                <w:color w:val="auto"/>
                <w:sz w:val="20"/>
              </w:rPr>
            </w:pPr>
          </w:p>
          <w:p w14:paraId="49C2EA7B">
            <w:pPr>
              <w:pStyle w:val="8"/>
              <w:jc w:val="both"/>
              <w:rPr>
                <w:rFonts w:ascii="Times New Roman"/>
                <w:color w:val="auto"/>
                <w:sz w:val="20"/>
              </w:rPr>
            </w:pPr>
          </w:p>
          <w:p w14:paraId="1C512759">
            <w:pPr>
              <w:pStyle w:val="8"/>
              <w:jc w:val="both"/>
              <w:rPr>
                <w:rFonts w:ascii="Times New Roman"/>
                <w:color w:val="auto"/>
                <w:sz w:val="20"/>
              </w:rPr>
            </w:pPr>
          </w:p>
          <w:p w14:paraId="723666EE">
            <w:pPr>
              <w:pStyle w:val="8"/>
              <w:jc w:val="both"/>
              <w:rPr>
                <w:rFonts w:ascii="Times New Roman"/>
                <w:color w:val="auto"/>
                <w:sz w:val="20"/>
              </w:rPr>
            </w:pPr>
          </w:p>
          <w:p w14:paraId="463F97B0">
            <w:pPr>
              <w:pStyle w:val="8"/>
              <w:spacing w:before="1"/>
              <w:jc w:val="both"/>
              <w:rPr>
                <w:rFonts w:ascii="Times New Roman"/>
                <w:color w:val="auto"/>
                <w:sz w:val="21"/>
              </w:rPr>
            </w:pPr>
          </w:p>
          <w:p w14:paraId="086C9F11">
            <w:pPr>
              <w:pStyle w:val="8"/>
              <w:ind w:left="9"/>
              <w:jc w:val="center"/>
              <w:rPr>
                <w:color w:val="auto"/>
                <w:sz w:val="21"/>
              </w:rPr>
            </w:pPr>
            <w:r>
              <w:rPr>
                <w:color w:val="auto"/>
                <w:w w:val="100"/>
                <w:sz w:val="21"/>
              </w:rPr>
              <w:t>2</w:t>
            </w:r>
          </w:p>
        </w:tc>
        <w:tc>
          <w:tcPr>
            <w:tcW w:w="1184" w:type="dxa"/>
            <w:gridSpan w:val="2"/>
            <w:vAlign w:val="top"/>
          </w:tcPr>
          <w:p w14:paraId="34DE6CFD">
            <w:pPr>
              <w:pStyle w:val="8"/>
              <w:jc w:val="both"/>
              <w:rPr>
                <w:rFonts w:ascii="Times New Roman"/>
                <w:color w:val="auto"/>
                <w:sz w:val="20"/>
              </w:rPr>
            </w:pPr>
          </w:p>
          <w:p w14:paraId="2F26956A">
            <w:pPr>
              <w:pStyle w:val="8"/>
              <w:jc w:val="both"/>
              <w:rPr>
                <w:rFonts w:ascii="Times New Roman"/>
                <w:color w:val="auto"/>
                <w:sz w:val="20"/>
              </w:rPr>
            </w:pPr>
          </w:p>
          <w:p w14:paraId="10B33A2D">
            <w:pPr>
              <w:pStyle w:val="8"/>
              <w:jc w:val="both"/>
              <w:rPr>
                <w:rFonts w:ascii="Times New Roman"/>
                <w:color w:val="auto"/>
                <w:sz w:val="20"/>
              </w:rPr>
            </w:pPr>
          </w:p>
          <w:p w14:paraId="36EA0CD4">
            <w:pPr>
              <w:pStyle w:val="8"/>
              <w:jc w:val="both"/>
              <w:rPr>
                <w:rFonts w:ascii="Times New Roman"/>
                <w:color w:val="auto"/>
                <w:sz w:val="25"/>
              </w:rPr>
            </w:pPr>
          </w:p>
          <w:p w14:paraId="576FA566">
            <w:pPr>
              <w:pStyle w:val="8"/>
              <w:ind w:left="170"/>
              <w:jc w:val="both"/>
              <w:rPr>
                <w:b/>
                <w:color w:val="auto"/>
                <w:sz w:val="21"/>
              </w:rPr>
            </w:pPr>
            <w:r>
              <w:rPr>
                <w:b/>
                <w:color w:val="auto"/>
                <w:sz w:val="21"/>
              </w:rPr>
              <w:t>违法行为</w:t>
            </w:r>
          </w:p>
        </w:tc>
        <w:tc>
          <w:tcPr>
            <w:tcW w:w="12046" w:type="dxa"/>
            <w:gridSpan w:val="4"/>
            <w:vAlign w:val="top"/>
          </w:tcPr>
          <w:p w14:paraId="69CD1D7B">
            <w:pPr>
              <w:pStyle w:val="8"/>
              <w:spacing w:before="13" w:line="249" w:lineRule="auto"/>
              <w:ind w:left="107" w:right="100" w:firstLine="420"/>
              <w:jc w:val="both"/>
              <w:rPr>
                <w:color w:val="auto"/>
                <w:sz w:val="21"/>
              </w:rPr>
            </w:pPr>
            <w:r>
              <w:rPr>
                <w:color w:val="auto"/>
                <w:sz w:val="21"/>
              </w:rPr>
              <w:t>使用不符合强制性国家标准、技术规范的原料、直接接触化妆品的包装材料，应当备案但未备案的新原料生产化妆品，或者不按照强制性国家标准或者技术规范使用原料；</w:t>
            </w:r>
          </w:p>
          <w:p w14:paraId="044682B6">
            <w:pPr>
              <w:pStyle w:val="8"/>
              <w:spacing w:before="2" w:line="247" w:lineRule="auto"/>
              <w:ind w:left="527" w:right="1838"/>
              <w:jc w:val="both"/>
              <w:rPr>
                <w:color w:val="auto"/>
                <w:sz w:val="21"/>
              </w:rPr>
            </w:pPr>
            <w:r>
              <w:rPr>
                <w:color w:val="auto"/>
                <w:sz w:val="21"/>
              </w:rPr>
              <w:t>生产经营不符合强制性国家标准、技术规范或者不符合化妆品注册、备案资料载明的技术要求的化妆品；</w:t>
            </w:r>
          </w:p>
          <w:p w14:paraId="0F78B2F5">
            <w:pPr>
              <w:pStyle w:val="8"/>
              <w:spacing w:before="2" w:line="247" w:lineRule="auto"/>
              <w:ind w:left="527" w:right="1838"/>
              <w:jc w:val="both"/>
              <w:rPr>
                <w:color w:val="auto"/>
                <w:sz w:val="21"/>
              </w:rPr>
            </w:pPr>
            <w:r>
              <w:rPr>
                <w:color w:val="auto"/>
                <w:sz w:val="21"/>
              </w:rPr>
              <w:t>未按照化妆品生产质量管理规范的要求组织生产；</w:t>
            </w:r>
          </w:p>
          <w:p w14:paraId="6E975B0A">
            <w:pPr>
              <w:pStyle w:val="8"/>
              <w:spacing w:before="5"/>
              <w:ind w:left="527"/>
              <w:jc w:val="both"/>
              <w:rPr>
                <w:color w:val="auto"/>
                <w:sz w:val="21"/>
              </w:rPr>
            </w:pPr>
            <w:r>
              <w:rPr>
                <w:color w:val="auto"/>
                <w:sz w:val="21"/>
              </w:rPr>
              <w:t>更改化妆品使用期限；</w:t>
            </w:r>
          </w:p>
          <w:p w14:paraId="5FFB4626">
            <w:pPr>
              <w:pStyle w:val="8"/>
              <w:spacing w:before="11" w:line="268" w:lineRule="exact"/>
              <w:ind w:left="527"/>
              <w:jc w:val="both"/>
              <w:rPr>
                <w:color w:val="auto"/>
                <w:sz w:val="21"/>
              </w:rPr>
            </w:pPr>
            <w:r>
              <w:rPr>
                <w:color w:val="auto"/>
                <w:sz w:val="21"/>
              </w:rPr>
              <w:t>化妆品经营者擅自配制化妆品，或者经营变质、超过使用期限的化妆品；</w:t>
            </w:r>
          </w:p>
          <w:p w14:paraId="329F9DC5">
            <w:pPr>
              <w:pStyle w:val="8"/>
              <w:spacing w:line="268" w:lineRule="exact"/>
              <w:ind w:left="527"/>
              <w:jc w:val="both"/>
              <w:rPr>
                <w:color w:val="auto"/>
                <w:sz w:val="21"/>
              </w:rPr>
            </w:pPr>
            <w:r>
              <w:rPr>
                <w:color w:val="auto"/>
                <w:sz w:val="21"/>
              </w:rPr>
              <w:t>在负责药品监督管理的部门责令其实施召回后拒不召回，或者在负责药品监督管理的部门责令停止或者暂停生产、经营后拒</w:t>
            </w:r>
          </w:p>
          <w:p w14:paraId="17270702">
            <w:pPr>
              <w:pStyle w:val="8"/>
              <w:spacing w:before="5" w:line="250" w:lineRule="exact"/>
              <w:ind w:left="107"/>
              <w:jc w:val="both"/>
              <w:rPr>
                <w:color w:val="auto"/>
                <w:sz w:val="21"/>
              </w:rPr>
            </w:pPr>
            <w:r>
              <w:rPr>
                <w:color w:val="auto"/>
                <w:sz w:val="21"/>
              </w:rPr>
              <w:t>不停止或者暂停生产、经营。</w:t>
            </w:r>
          </w:p>
        </w:tc>
      </w:tr>
      <w:tr w14:paraId="1655C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trPr>
        <w:tc>
          <w:tcPr>
            <w:tcW w:w="562" w:type="dxa"/>
            <w:vMerge w:val="continue"/>
            <w:tcBorders>
              <w:top w:val="nil"/>
            </w:tcBorders>
            <w:vAlign w:val="top"/>
          </w:tcPr>
          <w:p w14:paraId="3A704FCE">
            <w:pPr>
              <w:jc w:val="both"/>
              <w:rPr>
                <w:color w:val="auto"/>
                <w:sz w:val="2"/>
                <w:szCs w:val="2"/>
              </w:rPr>
            </w:pPr>
          </w:p>
        </w:tc>
        <w:tc>
          <w:tcPr>
            <w:tcW w:w="1184" w:type="dxa"/>
            <w:gridSpan w:val="2"/>
            <w:vAlign w:val="top"/>
          </w:tcPr>
          <w:p w14:paraId="68D0A26A">
            <w:pPr>
              <w:pStyle w:val="8"/>
              <w:jc w:val="both"/>
              <w:rPr>
                <w:rFonts w:ascii="Times New Roman"/>
                <w:color w:val="auto"/>
                <w:sz w:val="20"/>
              </w:rPr>
            </w:pPr>
          </w:p>
          <w:p w14:paraId="32027885">
            <w:pPr>
              <w:pStyle w:val="8"/>
              <w:spacing w:before="5"/>
              <w:jc w:val="both"/>
              <w:rPr>
                <w:rFonts w:ascii="Times New Roman"/>
                <w:color w:val="auto"/>
                <w:sz w:val="27"/>
              </w:rPr>
            </w:pPr>
          </w:p>
          <w:p w14:paraId="494A7D79">
            <w:pPr>
              <w:pStyle w:val="8"/>
              <w:ind w:left="170"/>
              <w:jc w:val="both"/>
              <w:rPr>
                <w:b/>
                <w:color w:val="auto"/>
                <w:sz w:val="21"/>
              </w:rPr>
            </w:pPr>
            <w:r>
              <w:rPr>
                <w:b/>
                <w:color w:val="auto"/>
                <w:sz w:val="21"/>
              </w:rPr>
              <w:t>处罚依据</w:t>
            </w:r>
          </w:p>
        </w:tc>
        <w:tc>
          <w:tcPr>
            <w:tcW w:w="12046" w:type="dxa"/>
            <w:gridSpan w:val="4"/>
            <w:vAlign w:val="top"/>
          </w:tcPr>
          <w:p w14:paraId="54198D68">
            <w:pPr>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根据《化妆品监督管理条例》第六十条规定，由负责药品监督管理的部门没收违法所得、违法生产经营的化妆品和专门用于违法生产经营的原料、包装材料、工具、设备等物品；违法生产经营的化妆品货值金额不足 1 万元的，并处 1 万元以上 5 万元以下罚款；货值金额 1 万元以上的，并处货值金额 5 倍以上 20 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 1 倍以上 3 倍以下罚款，10 年内禁止其从事化妆品生产经营活动。</w:t>
            </w:r>
          </w:p>
        </w:tc>
      </w:tr>
      <w:tr w14:paraId="79A0F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continue"/>
            <w:tcBorders>
              <w:top w:val="nil"/>
            </w:tcBorders>
            <w:vAlign w:val="top"/>
          </w:tcPr>
          <w:p w14:paraId="71DC936B">
            <w:pPr>
              <w:jc w:val="both"/>
              <w:rPr>
                <w:color w:val="auto"/>
                <w:sz w:val="2"/>
                <w:szCs w:val="2"/>
              </w:rPr>
            </w:pPr>
          </w:p>
        </w:tc>
        <w:tc>
          <w:tcPr>
            <w:tcW w:w="1184" w:type="dxa"/>
            <w:gridSpan w:val="2"/>
            <w:vAlign w:val="top"/>
          </w:tcPr>
          <w:p w14:paraId="6ED2138D">
            <w:pPr>
              <w:pStyle w:val="8"/>
              <w:spacing w:before="92"/>
              <w:ind w:left="170"/>
              <w:jc w:val="both"/>
              <w:rPr>
                <w:b/>
                <w:color w:val="auto"/>
                <w:sz w:val="21"/>
              </w:rPr>
            </w:pPr>
            <w:r>
              <w:rPr>
                <w:b/>
                <w:color w:val="auto"/>
                <w:sz w:val="21"/>
              </w:rPr>
              <w:t>裁量等级</w:t>
            </w:r>
          </w:p>
        </w:tc>
        <w:tc>
          <w:tcPr>
            <w:tcW w:w="2715" w:type="dxa"/>
            <w:vAlign w:val="center"/>
          </w:tcPr>
          <w:p w14:paraId="4027FD6D">
            <w:pPr>
              <w:pStyle w:val="8"/>
              <w:spacing w:before="11" w:line="268" w:lineRule="exact"/>
              <w:jc w:val="center"/>
              <w:rPr>
                <w:rFonts w:ascii="仿宋" w:hAnsi="仿宋" w:eastAsia="仿宋" w:cs="仿宋"/>
                <w:b/>
                <w:bCs/>
                <w:color w:val="auto"/>
                <w:kern w:val="2"/>
                <w:sz w:val="21"/>
                <w:szCs w:val="22"/>
                <w:lang w:val="zh-CN" w:eastAsia="zh-CN" w:bidi="zh-CN"/>
              </w:rPr>
            </w:pPr>
            <w:r>
              <w:rPr>
                <w:rFonts w:ascii="仿宋" w:hAnsi="仿宋" w:eastAsia="仿宋" w:cs="仿宋"/>
                <w:b/>
                <w:bCs/>
                <w:color w:val="auto"/>
                <w:kern w:val="2"/>
                <w:sz w:val="21"/>
                <w:szCs w:val="22"/>
                <w:lang w:val="zh-CN" w:eastAsia="zh-CN" w:bidi="zh-CN"/>
              </w:rPr>
              <w:t>减轻</w:t>
            </w:r>
          </w:p>
        </w:tc>
        <w:tc>
          <w:tcPr>
            <w:tcW w:w="2714" w:type="dxa"/>
            <w:vAlign w:val="center"/>
          </w:tcPr>
          <w:p w14:paraId="7DD95582">
            <w:pPr>
              <w:pStyle w:val="8"/>
              <w:spacing w:before="11" w:line="268" w:lineRule="exact"/>
              <w:jc w:val="center"/>
              <w:rPr>
                <w:rFonts w:ascii="仿宋" w:hAnsi="仿宋" w:eastAsia="仿宋" w:cs="仿宋"/>
                <w:b/>
                <w:bCs/>
                <w:color w:val="auto"/>
                <w:kern w:val="2"/>
                <w:sz w:val="21"/>
                <w:szCs w:val="22"/>
                <w:lang w:val="zh-CN" w:eastAsia="zh-CN" w:bidi="zh-CN"/>
              </w:rPr>
            </w:pPr>
            <w:r>
              <w:rPr>
                <w:rFonts w:ascii="仿宋" w:hAnsi="仿宋" w:eastAsia="仿宋" w:cs="仿宋"/>
                <w:b/>
                <w:bCs/>
                <w:color w:val="auto"/>
                <w:kern w:val="2"/>
                <w:sz w:val="21"/>
                <w:szCs w:val="22"/>
                <w:lang w:val="zh-CN" w:eastAsia="zh-CN" w:bidi="zh-CN"/>
              </w:rPr>
              <w:t>从轻</w:t>
            </w:r>
          </w:p>
        </w:tc>
        <w:tc>
          <w:tcPr>
            <w:tcW w:w="2717" w:type="dxa"/>
            <w:vAlign w:val="center"/>
          </w:tcPr>
          <w:p w14:paraId="7CB866EE">
            <w:pPr>
              <w:pStyle w:val="8"/>
              <w:spacing w:before="11" w:line="268" w:lineRule="exact"/>
              <w:jc w:val="center"/>
              <w:rPr>
                <w:rFonts w:ascii="仿宋" w:hAnsi="仿宋" w:eastAsia="仿宋" w:cs="仿宋"/>
                <w:b/>
                <w:bCs/>
                <w:color w:val="auto"/>
                <w:kern w:val="2"/>
                <w:sz w:val="21"/>
                <w:szCs w:val="22"/>
                <w:lang w:val="zh-CN" w:eastAsia="zh-CN" w:bidi="zh-CN"/>
              </w:rPr>
            </w:pPr>
            <w:r>
              <w:rPr>
                <w:rFonts w:ascii="仿宋" w:hAnsi="仿宋" w:eastAsia="仿宋" w:cs="仿宋"/>
                <w:b/>
                <w:bCs/>
                <w:color w:val="auto"/>
                <w:kern w:val="2"/>
                <w:sz w:val="21"/>
                <w:szCs w:val="22"/>
                <w:lang w:val="zh-CN" w:eastAsia="zh-CN" w:bidi="zh-CN"/>
              </w:rPr>
              <w:t>一般</w:t>
            </w:r>
          </w:p>
        </w:tc>
        <w:tc>
          <w:tcPr>
            <w:tcW w:w="3900" w:type="dxa"/>
            <w:vAlign w:val="center"/>
          </w:tcPr>
          <w:p w14:paraId="52922A92">
            <w:pPr>
              <w:pStyle w:val="8"/>
              <w:spacing w:before="11" w:line="268" w:lineRule="exact"/>
              <w:jc w:val="center"/>
              <w:rPr>
                <w:rFonts w:ascii="仿宋" w:hAnsi="仿宋" w:eastAsia="仿宋" w:cs="仿宋"/>
                <w:b/>
                <w:bCs/>
                <w:color w:val="auto"/>
                <w:kern w:val="2"/>
                <w:sz w:val="21"/>
                <w:szCs w:val="22"/>
                <w:lang w:val="zh-CN" w:eastAsia="zh-CN" w:bidi="zh-CN"/>
              </w:rPr>
            </w:pPr>
            <w:r>
              <w:rPr>
                <w:rFonts w:ascii="仿宋" w:hAnsi="仿宋" w:eastAsia="仿宋" w:cs="仿宋"/>
                <w:b/>
                <w:bCs/>
                <w:color w:val="auto"/>
                <w:kern w:val="2"/>
                <w:sz w:val="21"/>
                <w:szCs w:val="22"/>
                <w:lang w:val="zh-CN" w:eastAsia="zh-CN" w:bidi="zh-CN"/>
              </w:rPr>
              <w:t>从重</w:t>
            </w:r>
          </w:p>
        </w:tc>
      </w:tr>
      <w:tr w14:paraId="7C39A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continue"/>
            <w:tcBorders>
              <w:top w:val="nil"/>
            </w:tcBorders>
            <w:vAlign w:val="top"/>
          </w:tcPr>
          <w:p w14:paraId="26D7EA74">
            <w:pPr>
              <w:jc w:val="both"/>
              <w:rPr>
                <w:color w:val="auto"/>
                <w:sz w:val="2"/>
                <w:szCs w:val="2"/>
              </w:rPr>
            </w:pPr>
          </w:p>
        </w:tc>
        <w:tc>
          <w:tcPr>
            <w:tcW w:w="1184" w:type="dxa"/>
            <w:gridSpan w:val="2"/>
            <w:vAlign w:val="top"/>
          </w:tcPr>
          <w:p w14:paraId="768EC468">
            <w:pPr>
              <w:pStyle w:val="8"/>
              <w:spacing w:before="149"/>
              <w:ind w:left="170"/>
              <w:jc w:val="both"/>
              <w:rPr>
                <w:b/>
                <w:color w:val="auto"/>
                <w:sz w:val="21"/>
              </w:rPr>
            </w:pPr>
            <w:r>
              <w:rPr>
                <w:b/>
                <w:color w:val="auto"/>
                <w:sz w:val="21"/>
              </w:rPr>
              <w:t>裁量情节</w:t>
            </w:r>
          </w:p>
        </w:tc>
        <w:tc>
          <w:tcPr>
            <w:tcW w:w="2715" w:type="dxa"/>
            <w:vAlign w:val="top"/>
          </w:tcPr>
          <w:p w14:paraId="0908410F">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符合裁量规定减轻行政处罚情形的。</w:t>
            </w:r>
          </w:p>
        </w:tc>
        <w:tc>
          <w:tcPr>
            <w:tcW w:w="2714" w:type="dxa"/>
            <w:vAlign w:val="top"/>
          </w:tcPr>
          <w:p w14:paraId="49AACBB6">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符合裁量规定从轻行政处罚情形的。</w:t>
            </w:r>
          </w:p>
        </w:tc>
        <w:tc>
          <w:tcPr>
            <w:tcW w:w="2717" w:type="dxa"/>
            <w:vAlign w:val="top"/>
          </w:tcPr>
          <w:p w14:paraId="16632658">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符合裁量规定一般行政处罚情形的。</w:t>
            </w:r>
          </w:p>
        </w:tc>
        <w:tc>
          <w:tcPr>
            <w:tcW w:w="3900" w:type="dxa"/>
            <w:vAlign w:val="top"/>
          </w:tcPr>
          <w:p w14:paraId="0F8BBA73">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符合裁量规定从重行政处罚情形的。</w:t>
            </w:r>
          </w:p>
        </w:tc>
      </w:tr>
      <w:tr w14:paraId="22E0E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0" w:hRule="atLeast"/>
        </w:trPr>
        <w:tc>
          <w:tcPr>
            <w:tcW w:w="562" w:type="dxa"/>
            <w:vMerge w:val="continue"/>
            <w:tcBorders>
              <w:top w:val="nil"/>
            </w:tcBorders>
            <w:vAlign w:val="top"/>
          </w:tcPr>
          <w:p w14:paraId="73D20E6C">
            <w:pPr>
              <w:jc w:val="both"/>
              <w:rPr>
                <w:color w:val="auto"/>
                <w:sz w:val="2"/>
                <w:szCs w:val="2"/>
              </w:rPr>
            </w:pPr>
          </w:p>
        </w:tc>
        <w:tc>
          <w:tcPr>
            <w:tcW w:w="706" w:type="dxa"/>
            <w:vMerge w:val="restart"/>
            <w:vAlign w:val="top"/>
          </w:tcPr>
          <w:p w14:paraId="3958BAEF">
            <w:pPr>
              <w:pStyle w:val="8"/>
              <w:jc w:val="both"/>
              <w:rPr>
                <w:rFonts w:ascii="Times New Roman"/>
                <w:color w:val="auto"/>
                <w:sz w:val="20"/>
              </w:rPr>
            </w:pPr>
          </w:p>
          <w:p w14:paraId="35ECCEE7">
            <w:pPr>
              <w:pStyle w:val="8"/>
              <w:jc w:val="both"/>
              <w:rPr>
                <w:rFonts w:ascii="Times New Roman"/>
                <w:color w:val="auto"/>
                <w:sz w:val="20"/>
              </w:rPr>
            </w:pPr>
          </w:p>
          <w:p w14:paraId="3C39EC40">
            <w:pPr>
              <w:pStyle w:val="8"/>
              <w:jc w:val="both"/>
              <w:rPr>
                <w:rFonts w:ascii="Times New Roman"/>
                <w:color w:val="auto"/>
                <w:sz w:val="20"/>
              </w:rPr>
            </w:pPr>
          </w:p>
          <w:p w14:paraId="72783C36">
            <w:pPr>
              <w:pStyle w:val="8"/>
              <w:jc w:val="both"/>
              <w:rPr>
                <w:rFonts w:ascii="Times New Roman"/>
                <w:color w:val="auto"/>
                <w:sz w:val="20"/>
              </w:rPr>
            </w:pPr>
          </w:p>
          <w:p w14:paraId="532BEB71">
            <w:pPr>
              <w:pStyle w:val="8"/>
              <w:spacing w:before="10"/>
              <w:jc w:val="both"/>
              <w:rPr>
                <w:rFonts w:ascii="Times New Roman"/>
                <w:color w:val="auto"/>
                <w:sz w:val="26"/>
              </w:rPr>
            </w:pPr>
          </w:p>
          <w:p w14:paraId="1211C37C">
            <w:pPr>
              <w:pStyle w:val="8"/>
              <w:spacing w:before="1" w:line="244" w:lineRule="auto"/>
              <w:ind w:left="141" w:right="130"/>
              <w:jc w:val="both"/>
              <w:rPr>
                <w:b/>
                <w:color w:val="auto"/>
                <w:sz w:val="21"/>
              </w:rPr>
            </w:pPr>
            <w:r>
              <w:rPr>
                <w:b/>
                <w:color w:val="auto"/>
                <w:sz w:val="21"/>
              </w:rPr>
              <w:t>裁量基准</w:t>
            </w:r>
          </w:p>
        </w:tc>
        <w:tc>
          <w:tcPr>
            <w:tcW w:w="478" w:type="dxa"/>
            <w:vAlign w:val="top"/>
          </w:tcPr>
          <w:p w14:paraId="7B82B082">
            <w:pPr>
              <w:pStyle w:val="8"/>
              <w:spacing w:before="135" w:line="242" w:lineRule="auto"/>
              <w:ind w:left="131" w:right="123"/>
              <w:jc w:val="both"/>
              <w:rPr>
                <w:b/>
                <w:color w:val="auto"/>
                <w:sz w:val="21"/>
              </w:rPr>
            </w:pPr>
            <w:r>
              <w:rPr>
                <w:b/>
                <w:color w:val="auto"/>
                <w:sz w:val="21"/>
              </w:rPr>
              <w:t>一般情形</w:t>
            </w:r>
          </w:p>
        </w:tc>
        <w:tc>
          <w:tcPr>
            <w:tcW w:w="2715" w:type="dxa"/>
            <w:vAlign w:val="top"/>
          </w:tcPr>
          <w:p w14:paraId="3904A29B">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货值金额不足 1 万元的，并</w:t>
            </w:r>
          </w:p>
          <w:p w14:paraId="7E33E7DA">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处 0.1 万元以上 1 万元以下罚款；货值金额 1 万元以上的，并处货值金额 0.5 倍以上 5 倍以下罚款。</w:t>
            </w:r>
          </w:p>
        </w:tc>
        <w:tc>
          <w:tcPr>
            <w:tcW w:w="2714" w:type="dxa"/>
            <w:vAlign w:val="top"/>
          </w:tcPr>
          <w:p w14:paraId="7A63D3E3">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货值金额不足 1 万元的，并</w:t>
            </w:r>
          </w:p>
          <w:p w14:paraId="5657E5F0">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处 1 万元以上 2.2 万元以下罚款；货值金额 1 万元以上的，并处货值金额 5 倍以上9.5 倍以下罚款。</w:t>
            </w:r>
          </w:p>
        </w:tc>
        <w:tc>
          <w:tcPr>
            <w:tcW w:w="2717" w:type="dxa"/>
            <w:vAlign w:val="top"/>
          </w:tcPr>
          <w:p w14:paraId="440EDB6E">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货值金额不足 1 万元的，并</w:t>
            </w:r>
          </w:p>
          <w:p w14:paraId="29ECE2F3">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处 2.2 万元以上 3.8 万元以下罚款；货值金额 1 万元以上的，并处货值金额 9.5 倍以上 15.5 倍以下罚款。</w:t>
            </w:r>
          </w:p>
        </w:tc>
        <w:tc>
          <w:tcPr>
            <w:tcW w:w="3900" w:type="dxa"/>
            <w:vAlign w:val="top"/>
          </w:tcPr>
          <w:p w14:paraId="40F2EC3D">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货值金额不足 1 万元的，并处 3.8 万元以</w:t>
            </w:r>
          </w:p>
          <w:p w14:paraId="6A021905">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5 万元以下罚款；货值金额 1 万元以上</w:t>
            </w:r>
          </w:p>
          <w:p w14:paraId="2D0545FE">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的，并处货值金额 15.5 倍以上 20 倍以下罚款。</w:t>
            </w:r>
          </w:p>
        </w:tc>
      </w:tr>
      <w:tr w14:paraId="1A725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562" w:type="dxa"/>
            <w:vMerge w:val="continue"/>
            <w:tcBorders>
              <w:top w:val="nil"/>
            </w:tcBorders>
            <w:vAlign w:val="top"/>
          </w:tcPr>
          <w:p w14:paraId="08E1DA83">
            <w:pPr>
              <w:jc w:val="both"/>
              <w:rPr>
                <w:color w:val="auto"/>
                <w:sz w:val="2"/>
                <w:szCs w:val="2"/>
              </w:rPr>
            </w:pPr>
          </w:p>
        </w:tc>
        <w:tc>
          <w:tcPr>
            <w:tcW w:w="706" w:type="dxa"/>
            <w:vMerge w:val="continue"/>
            <w:tcBorders>
              <w:top w:val="nil"/>
            </w:tcBorders>
            <w:vAlign w:val="top"/>
          </w:tcPr>
          <w:p w14:paraId="699F91E9">
            <w:pPr>
              <w:jc w:val="both"/>
              <w:rPr>
                <w:color w:val="auto"/>
                <w:sz w:val="2"/>
                <w:szCs w:val="2"/>
              </w:rPr>
            </w:pPr>
          </w:p>
        </w:tc>
        <w:tc>
          <w:tcPr>
            <w:tcW w:w="478" w:type="dxa"/>
            <w:vAlign w:val="top"/>
          </w:tcPr>
          <w:p w14:paraId="14F71D57">
            <w:pPr>
              <w:pStyle w:val="8"/>
              <w:spacing w:before="137" w:line="242" w:lineRule="auto"/>
              <w:ind w:left="131" w:right="123"/>
              <w:jc w:val="both"/>
              <w:rPr>
                <w:b/>
                <w:color w:val="auto"/>
                <w:sz w:val="21"/>
              </w:rPr>
            </w:pPr>
            <w:r>
              <w:rPr>
                <w:b/>
                <w:color w:val="auto"/>
                <w:sz w:val="21"/>
              </w:rPr>
              <w:t>情节严重的</w:t>
            </w:r>
          </w:p>
        </w:tc>
        <w:tc>
          <w:tcPr>
            <w:tcW w:w="2715" w:type="dxa"/>
            <w:vAlign w:val="top"/>
          </w:tcPr>
          <w:p w14:paraId="3379F797">
            <w:pPr>
              <w:pStyle w:val="8"/>
              <w:spacing w:before="11" w:line="268" w:lineRule="exact"/>
              <w:ind w:left="527"/>
              <w:jc w:val="both"/>
              <w:rPr>
                <w:rFonts w:ascii="仿宋" w:hAnsi="仿宋" w:eastAsia="仿宋" w:cs="仿宋"/>
                <w:color w:val="auto"/>
                <w:kern w:val="2"/>
                <w:sz w:val="21"/>
                <w:szCs w:val="22"/>
                <w:lang w:val="zh-CN" w:eastAsia="zh-CN" w:bidi="zh-CN"/>
              </w:rPr>
            </w:pPr>
          </w:p>
        </w:tc>
        <w:tc>
          <w:tcPr>
            <w:tcW w:w="2714" w:type="dxa"/>
            <w:vAlign w:val="top"/>
          </w:tcPr>
          <w:p w14:paraId="4A3F544B">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对法定代表人或者主要负责人、直接负责的主管人员和其他直接责任人员处以其上一年度从本单位取得收入的 1 倍以上 1.6 倍以下罚款。</w:t>
            </w:r>
          </w:p>
        </w:tc>
        <w:tc>
          <w:tcPr>
            <w:tcW w:w="2717" w:type="dxa"/>
            <w:vAlign w:val="top"/>
          </w:tcPr>
          <w:p w14:paraId="4B25AEC3">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法定代表人或者主要负责人、直接负责的主管人员和其他直接责任人员处以其上一年度从本单位取得收入的 1.6 倍以上 2.4 倍以下罚款。</w:t>
            </w:r>
          </w:p>
        </w:tc>
        <w:tc>
          <w:tcPr>
            <w:tcW w:w="3900" w:type="dxa"/>
            <w:vAlign w:val="top"/>
          </w:tcPr>
          <w:p w14:paraId="1419B1AA">
            <w:pPr>
              <w:pStyle w:val="8"/>
              <w:spacing w:before="11" w:line="268" w:lineRule="exact"/>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对法定代表人或者主要负责人、直接负责的主管人员和其他直接责任人员处以其上一年度从本单位取得收入的2.4倍以上3倍以下罚款。</w:t>
            </w:r>
          </w:p>
        </w:tc>
      </w:tr>
    </w:tbl>
    <w:p w14:paraId="6A2825B3">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36"/>
        <w:gridCol w:w="547"/>
        <w:gridCol w:w="2715"/>
        <w:gridCol w:w="2714"/>
        <w:gridCol w:w="2717"/>
        <w:gridCol w:w="3900"/>
      </w:tblGrid>
      <w:tr w14:paraId="61567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562" w:type="dxa"/>
            <w:tcBorders>
              <w:bottom w:val="nil"/>
            </w:tcBorders>
            <w:vAlign w:val="top"/>
          </w:tcPr>
          <w:p w14:paraId="4EE641CB">
            <w:pPr>
              <w:pStyle w:val="8"/>
              <w:jc w:val="both"/>
              <w:rPr>
                <w:rFonts w:ascii="Times New Roman"/>
                <w:color w:val="auto"/>
                <w:sz w:val="20"/>
              </w:rPr>
            </w:pPr>
          </w:p>
        </w:tc>
        <w:tc>
          <w:tcPr>
            <w:tcW w:w="1183" w:type="dxa"/>
            <w:gridSpan w:val="2"/>
            <w:tcBorders>
              <w:bottom w:val="nil"/>
            </w:tcBorders>
            <w:vAlign w:val="top"/>
          </w:tcPr>
          <w:p w14:paraId="68A5A44A">
            <w:pPr>
              <w:pStyle w:val="8"/>
              <w:jc w:val="both"/>
              <w:rPr>
                <w:rFonts w:ascii="Times New Roman"/>
                <w:color w:val="auto"/>
                <w:sz w:val="20"/>
              </w:rPr>
            </w:pPr>
          </w:p>
        </w:tc>
        <w:tc>
          <w:tcPr>
            <w:tcW w:w="12046" w:type="dxa"/>
            <w:gridSpan w:val="4"/>
            <w:tcBorders>
              <w:bottom w:val="nil"/>
            </w:tcBorders>
            <w:vAlign w:val="top"/>
          </w:tcPr>
          <w:p w14:paraId="0DAE739C">
            <w:pPr>
              <w:pStyle w:val="8"/>
              <w:spacing w:before="54" w:line="254" w:lineRule="exact"/>
              <w:jc w:val="both"/>
              <w:rPr>
                <w:color w:val="auto"/>
                <w:sz w:val="21"/>
              </w:rPr>
            </w:pPr>
            <w:r>
              <w:rPr>
                <w:color w:val="auto"/>
                <w:sz w:val="21"/>
              </w:rPr>
              <w:t>上市销售、经营或者进口未备案的普通化妆品；</w:t>
            </w:r>
          </w:p>
        </w:tc>
      </w:tr>
      <w:tr w14:paraId="2E3F1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562" w:type="dxa"/>
            <w:tcBorders>
              <w:top w:val="nil"/>
              <w:bottom w:val="nil"/>
            </w:tcBorders>
            <w:vAlign w:val="top"/>
          </w:tcPr>
          <w:p w14:paraId="6A8FEA6F">
            <w:pPr>
              <w:pStyle w:val="8"/>
              <w:jc w:val="both"/>
              <w:rPr>
                <w:rFonts w:ascii="Times New Roman"/>
                <w:color w:val="auto"/>
                <w:sz w:val="20"/>
              </w:rPr>
            </w:pPr>
          </w:p>
        </w:tc>
        <w:tc>
          <w:tcPr>
            <w:tcW w:w="1183" w:type="dxa"/>
            <w:gridSpan w:val="2"/>
            <w:tcBorders>
              <w:top w:val="nil"/>
              <w:bottom w:val="nil"/>
            </w:tcBorders>
            <w:vAlign w:val="top"/>
          </w:tcPr>
          <w:p w14:paraId="46961853">
            <w:pPr>
              <w:pStyle w:val="8"/>
              <w:jc w:val="both"/>
              <w:rPr>
                <w:rFonts w:ascii="Times New Roman"/>
                <w:color w:val="auto"/>
                <w:sz w:val="20"/>
              </w:rPr>
            </w:pPr>
          </w:p>
        </w:tc>
        <w:tc>
          <w:tcPr>
            <w:tcW w:w="12046" w:type="dxa"/>
            <w:gridSpan w:val="4"/>
            <w:tcBorders>
              <w:top w:val="nil"/>
              <w:bottom w:val="nil"/>
            </w:tcBorders>
            <w:vAlign w:val="top"/>
          </w:tcPr>
          <w:p w14:paraId="55306CBB">
            <w:pPr>
              <w:pStyle w:val="8"/>
              <w:spacing w:before="6" w:line="249" w:lineRule="exact"/>
              <w:jc w:val="both"/>
              <w:rPr>
                <w:color w:val="auto"/>
                <w:sz w:val="21"/>
              </w:rPr>
            </w:pPr>
            <w:r>
              <w:rPr>
                <w:color w:val="auto"/>
                <w:sz w:val="21"/>
              </w:rPr>
              <w:t>未依照《化妆品监督管理条例》规定设质量安全负责人；</w:t>
            </w:r>
          </w:p>
        </w:tc>
      </w:tr>
      <w:tr w14:paraId="7FA64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62" w:type="dxa"/>
            <w:tcBorders>
              <w:top w:val="nil"/>
              <w:bottom w:val="nil"/>
            </w:tcBorders>
            <w:vAlign w:val="top"/>
          </w:tcPr>
          <w:p w14:paraId="70D52316">
            <w:pPr>
              <w:pStyle w:val="8"/>
              <w:jc w:val="both"/>
              <w:rPr>
                <w:rFonts w:ascii="Times New Roman"/>
                <w:color w:val="auto"/>
                <w:sz w:val="20"/>
              </w:rPr>
            </w:pPr>
          </w:p>
        </w:tc>
        <w:tc>
          <w:tcPr>
            <w:tcW w:w="1183" w:type="dxa"/>
            <w:gridSpan w:val="2"/>
            <w:tcBorders>
              <w:top w:val="nil"/>
              <w:bottom w:val="nil"/>
            </w:tcBorders>
            <w:vAlign w:val="top"/>
          </w:tcPr>
          <w:p w14:paraId="502FDE80">
            <w:pPr>
              <w:pStyle w:val="8"/>
              <w:spacing w:line="265" w:lineRule="exact"/>
              <w:ind w:left="170"/>
              <w:jc w:val="both"/>
              <w:rPr>
                <w:b/>
                <w:color w:val="auto"/>
                <w:sz w:val="21"/>
              </w:rPr>
            </w:pPr>
            <w:r>
              <w:rPr>
                <w:b/>
                <w:color w:val="auto"/>
                <w:sz w:val="21"/>
              </w:rPr>
              <w:t>违法行为</w:t>
            </w:r>
          </w:p>
        </w:tc>
        <w:tc>
          <w:tcPr>
            <w:tcW w:w="12046" w:type="dxa"/>
            <w:gridSpan w:val="4"/>
            <w:tcBorders>
              <w:top w:val="nil"/>
              <w:bottom w:val="nil"/>
            </w:tcBorders>
            <w:vAlign w:val="top"/>
          </w:tcPr>
          <w:p w14:paraId="45DBF832">
            <w:pPr>
              <w:pStyle w:val="8"/>
              <w:spacing w:before="12" w:line="253" w:lineRule="exact"/>
              <w:jc w:val="both"/>
              <w:rPr>
                <w:color w:val="auto"/>
                <w:sz w:val="21"/>
              </w:rPr>
            </w:pPr>
            <w:r>
              <w:rPr>
                <w:color w:val="auto"/>
                <w:sz w:val="21"/>
              </w:rPr>
              <w:t>化妆品注册人、备案人未对受托生产企业的生产活动进行监督；</w:t>
            </w:r>
          </w:p>
        </w:tc>
      </w:tr>
      <w:tr w14:paraId="696EA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562" w:type="dxa"/>
            <w:tcBorders>
              <w:top w:val="nil"/>
              <w:bottom w:val="nil"/>
            </w:tcBorders>
            <w:vAlign w:val="top"/>
          </w:tcPr>
          <w:p w14:paraId="444C4A7C">
            <w:pPr>
              <w:pStyle w:val="8"/>
              <w:jc w:val="both"/>
              <w:rPr>
                <w:rFonts w:ascii="Times New Roman"/>
                <w:color w:val="auto"/>
                <w:sz w:val="20"/>
              </w:rPr>
            </w:pPr>
          </w:p>
        </w:tc>
        <w:tc>
          <w:tcPr>
            <w:tcW w:w="1183" w:type="dxa"/>
            <w:gridSpan w:val="2"/>
            <w:tcBorders>
              <w:top w:val="nil"/>
            </w:tcBorders>
            <w:vAlign w:val="top"/>
          </w:tcPr>
          <w:p w14:paraId="117F79A6">
            <w:pPr>
              <w:pStyle w:val="8"/>
              <w:jc w:val="both"/>
              <w:rPr>
                <w:rFonts w:ascii="Times New Roman"/>
                <w:color w:val="auto"/>
                <w:sz w:val="20"/>
              </w:rPr>
            </w:pPr>
          </w:p>
        </w:tc>
        <w:tc>
          <w:tcPr>
            <w:tcW w:w="12046" w:type="dxa"/>
            <w:gridSpan w:val="4"/>
            <w:tcBorders>
              <w:top w:val="nil"/>
            </w:tcBorders>
            <w:vAlign w:val="top"/>
          </w:tcPr>
          <w:p w14:paraId="0876EBD0">
            <w:pPr>
              <w:pStyle w:val="8"/>
              <w:spacing w:before="5"/>
              <w:ind w:right="4779"/>
              <w:jc w:val="both"/>
              <w:rPr>
                <w:color w:val="auto"/>
                <w:sz w:val="21"/>
              </w:rPr>
            </w:pPr>
            <w:r>
              <w:rPr>
                <w:color w:val="auto"/>
                <w:sz w:val="21"/>
              </w:rPr>
              <w:t>未依照《化妆品监督管理条例》规定建立并执行从业人员健康管理制度；</w:t>
            </w:r>
          </w:p>
          <w:p w14:paraId="19C101B0">
            <w:pPr>
              <w:pStyle w:val="8"/>
              <w:spacing w:before="5"/>
              <w:jc w:val="both"/>
              <w:rPr>
                <w:color w:val="auto"/>
                <w:sz w:val="21"/>
              </w:rPr>
            </w:pPr>
            <w:r>
              <w:rPr>
                <w:color w:val="auto"/>
                <w:spacing w:val="-21"/>
                <w:sz w:val="21"/>
              </w:rPr>
              <w:t>生产经营标签不符合《化妆品监督管理条例》规定的化妆品。</w:t>
            </w:r>
          </w:p>
        </w:tc>
      </w:tr>
      <w:tr w14:paraId="51398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6" w:hRule="atLeast"/>
        </w:trPr>
        <w:tc>
          <w:tcPr>
            <w:tcW w:w="562" w:type="dxa"/>
            <w:tcBorders>
              <w:top w:val="nil"/>
              <w:bottom w:val="nil"/>
            </w:tcBorders>
            <w:vAlign w:val="top"/>
          </w:tcPr>
          <w:p w14:paraId="131D8C83">
            <w:pPr>
              <w:pStyle w:val="8"/>
              <w:jc w:val="both"/>
              <w:rPr>
                <w:rFonts w:ascii="Times New Roman"/>
                <w:color w:val="auto"/>
                <w:sz w:val="20"/>
              </w:rPr>
            </w:pPr>
          </w:p>
        </w:tc>
        <w:tc>
          <w:tcPr>
            <w:tcW w:w="1183" w:type="dxa"/>
            <w:gridSpan w:val="2"/>
            <w:vAlign w:val="top"/>
          </w:tcPr>
          <w:p w14:paraId="3DEF55F5">
            <w:pPr>
              <w:pStyle w:val="8"/>
              <w:jc w:val="both"/>
              <w:rPr>
                <w:rFonts w:ascii="Times New Roman"/>
                <w:color w:val="auto"/>
                <w:sz w:val="20"/>
              </w:rPr>
            </w:pPr>
          </w:p>
          <w:p w14:paraId="630607E0">
            <w:pPr>
              <w:pStyle w:val="8"/>
              <w:jc w:val="both"/>
              <w:rPr>
                <w:rFonts w:ascii="Times New Roman"/>
                <w:color w:val="auto"/>
                <w:sz w:val="20"/>
              </w:rPr>
            </w:pPr>
          </w:p>
          <w:p w14:paraId="07895068">
            <w:pPr>
              <w:pStyle w:val="8"/>
              <w:spacing w:before="144"/>
              <w:ind w:left="170"/>
              <w:jc w:val="both"/>
              <w:rPr>
                <w:b/>
                <w:color w:val="auto"/>
                <w:sz w:val="21"/>
              </w:rPr>
            </w:pPr>
            <w:r>
              <w:rPr>
                <w:b/>
                <w:color w:val="auto"/>
                <w:sz w:val="21"/>
              </w:rPr>
              <w:t>处罚依据</w:t>
            </w:r>
          </w:p>
        </w:tc>
        <w:tc>
          <w:tcPr>
            <w:tcW w:w="12046" w:type="dxa"/>
            <w:gridSpan w:val="4"/>
            <w:vAlign w:val="top"/>
          </w:tcPr>
          <w:p w14:paraId="43629DB3">
            <w:pPr>
              <w:pStyle w:val="8"/>
              <w:spacing w:before="5"/>
              <w:ind w:left="108"/>
              <w:jc w:val="both"/>
              <w:rPr>
                <w:color w:val="auto"/>
                <w:sz w:val="21"/>
              </w:rPr>
            </w:pPr>
            <w:r>
              <w:rPr>
                <w:color w:val="auto"/>
                <w:sz w:val="21"/>
              </w:rPr>
              <w:t>根据《化妆品监督管理条例》第六十一条第一款规定，由负责药品监督管理的部门没收违法所得、违法生产经营的化妆品， 并可以没收专门用于违法生产经营的原料、包装材料、工具、设备等物品；违法生产经营的化妆品货值金额不足 1 万元的，并处 1万元以上 3 万元以下罚款；货值金额 1 万元以上的，并处货值金额 3 倍以上 10 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 1 倍以上 2 倍以下罚款，5 年内禁止其从事化妆品生产经营活动。</w:t>
            </w:r>
          </w:p>
        </w:tc>
      </w:tr>
      <w:tr w14:paraId="2455C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2" w:type="dxa"/>
            <w:tcBorders>
              <w:top w:val="nil"/>
              <w:bottom w:val="nil"/>
            </w:tcBorders>
            <w:vAlign w:val="top"/>
          </w:tcPr>
          <w:p w14:paraId="0EDB2668">
            <w:pPr>
              <w:pStyle w:val="8"/>
              <w:jc w:val="both"/>
              <w:rPr>
                <w:rFonts w:ascii="Times New Roman"/>
                <w:color w:val="auto"/>
                <w:sz w:val="20"/>
              </w:rPr>
            </w:pPr>
          </w:p>
        </w:tc>
        <w:tc>
          <w:tcPr>
            <w:tcW w:w="1183" w:type="dxa"/>
            <w:gridSpan w:val="2"/>
            <w:vAlign w:val="top"/>
          </w:tcPr>
          <w:p w14:paraId="29941366">
            <w:pPr>
              <w:pStyle w:val="8"/>
              <w:spacing w:before="147"/>
              <w:ind w:left="170"/>
              <w:jc w:val="both"/>
              <w:rPr>
                <w:b/>
                <w:color w:val="auto"/>
                <w:sz w:val="21"/>
              </w:rPr>
            </w:pPr>
            <w:r>
              <w:rPr>
                <w:b/>
                <w:color w:val="auto"/>
                <w:sz w:val="21"/>
              </w:rPr>
              <w:t>裁量等级</w:t>
            </w:r>
          </w:p>
        </w:tc>
        <w:tc>
          <w:tcPr>
            <w:tcW w:w="2715" w:type="dxa"/>
            <w:vAlign w:val="top"/>
          </w:tcPr>
          <w:p w14:paraId="5FC81881">
            <w:pPr>
              <w:pStyle w:val="8"/>
              <w:spacing w:before="147"/>
              <w:ind w:left="108"/>
              <w:jc w:val="both"/>
              <w:rPr>
                <w:b/>
                <w:color w:val="auto"/>
                <w:sz w:val="21"/>
              </w:rPr>
            </w:pPr>
            <w:r>
              <w:rPr>
                <w:b/>
                <w:color w:val="auto"/>
                <w:sz w:val="21"/>
              </w:rPr>
              <w:t>减轻</w:t>
            </w:r>
          </w:p>
        </w:tc>
        <w:tc>
          <w:tcPr>
            <w:tcW w:w="2714" w:type="dxa"/>
            <w:vAlign w:val="top"/>
          </w:tcPr>
          <w:p w14:paraId="445B2F0B">
            <w:pPr>
              <w:pStyle w:val="8"/>
              <w:spacing w:before="147"/>
              <w:ind w:left="108"/>
              <w:jc w:val="both"/>
              <w:rPr>
                <w:b/>
                <w:color w:val="auto"/>
                <w:sz w:val="21"/>
              </w:rPr>
            </w:pPr>
            <w:r>
              <w:rPr>
                <w:b/>
                <w:color w:val="auto"/>
                <w:sz w:val="21"/>
              </w:rPr>
              <w:t>从轻</w:t>
            </w:r>
          </w:p>
        </w:tc>
        <w:tc>
          <w:tcPr>
            <w:tcW w:w="2717" w:type="dxa"/>
            <w:vAlign w:val="top"/>
          </w:tcPr>
          <w:p w14:paraId="0AA1A122">
            <w:pPr>
              <w:pStyle w:val="8"/>
              <w:spacing w:before="147"/>
              <w:ind w:left="108"/>
              <w:jc w:val="both"/>
              <w:rPr>
                <w:b/>
                <w:color w:val="auto"/>
                <w:sz w:val="21"/>
              </w:rPr>
            </w:pPr>
            <w:r>
              <w:rPr>
                <w:b/>
                <w:color w:val="auto"/>
                <w:sz w:val="21"/>
              </w:rPr>
              <w:t>一般</w:t>
            </w:r>
          </w:p>
        </w:tc>
        <w:tc>
          <w:tcPr>
            <w:tcW w:w="3900" w:type="dxa"/>
            <w:vAlign w:val="top"/>
          </w:tcPr>
          <w:p w14:paraId="1E1012BF">
            <w:pPr>
              <w:pStyle w:val="8"/>
              <w:spacing w:before="147"/>
              <w:ind w:left="106"/>
              <w:jc w:val="both"/>
              <w:rPr>
                <w:b/>
                <w:color w:val="auto"/>
                <w:sz w:val="21"/>
              </w:rPr>
            </w:pPr>
            <w:r>
              <w:rPr>
                <w:b/>
                <w:color w:val="auto"/>
                <w:sz w:val="21"/>
              </w:rPr>
              <w:t>从重</w:t>
            </w:r>
          </w:p>
        </w:tc>
      </w:tr>
      <w:tr w14:paraId="63CA6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62" w:type="dxa"/>
            <w:tcBorders>
              <w:top w:val="nil"/>
              <w:bottom w:val="nil"/>
            </w:tcBorders>
            <w:vAlign w:val="top"/>
          </w:tcPr>
          <w:p w14:paraId="5F5930AD">
            <w:pPr>
              <w:pStyle w:val="8"/>
              <w:spacing w:before="116"/>
              <w:ind w:left="9"/>
              <w:jc w:val="center"/>
              <w:rPr>
                <w:b/>
                <w:color w:val="auto"/>
                <w:sz w:val="21"/>
              </w:rPr>
            </w:pPr>
            <w:r>
              <w:rPr>
                <w:b w:val="0"/>
                <w:bCs/>
                <w:color w:val="auto"/>
                <w:w w:val="99"/>
                <w:sz w:val="21"/>
              </w:rPr>
              <w:t>3</w:t>
            </w:r>
          </w:p>
        </w:tc>
        <w:tc>
          <w:tcPr>
            <w:tcW w:w="1183" w:type="dxa"/>
            <w:gridSpan w:val="2"/>
            <w:vAlign w:val="top"/>
          </w:tcPr>
          <w:p w14:paraId="6C899F6A">
            <w:pPr>
              <w:pStyle w:val="8"/>
              <w:spacing w:before="3"/>
              <w:jc w:val="both"/>
              <w:rPr>
                <w:rFonts w:ascii="Times New Roman"/>
                <w:color w:val="auto"/>
                <w:sz w:val="20"/>
              </w:rPr>
            </w:pPr>
          </w:p>
          <w:p w14:paraId="089CAAE8">
            <w:pPr>
              <w:pStyle w:val="8"/>
              <w:spacing w:before="1"/>
              <w:ind w:left="170"/>
              <w:jc w:val="both"/>
              <w:rPr>
                <w:b/>
                <w:color w:val="auto"/>
                <w:sz w:val="21"/>
              </w:rPr>
            </w:pPr>
            <w:r>
              <w:rPr>
                <w:b/>
                <w:color w:val="auto"/>
                <w:sz w:val="21"/>
              </w:rPr>
              <w:t>裁量情节</w:t>
            </w:r>
          </w:p>
        </w:tc>
        <w:tc>
          <w:tcPr>
            <w:tcW w:w="2715" w:type="dxa"/>
            <w:vAlign w:val="top"/>
          </w:tcPr>
          <w:p w14:paraId="254524DC">
            <w:pPr>
              <w:pStyle w:val="8"/>
              <w:spacing w:before="97" w:line="244" w:lineRule="auto"/>
              <w:ind w:left="108" w:right="97"/>
              <w:jc w:val="both"/>
              <w:rPr>
                <w:color w:val="auto"/>
                <w:sz w:val="21"/>
              </w:rPr>
            </w:pPr>
            <w:r>
              <w:rPr>
                <w:color w:val="auto"/>
                <w:sz w:val="21"/>
              </w:rPr>
              <w:t>符合裁量规定减轻行政处罚情形的。</w:t>
            </w:r>
          </w:p>
        </w:tc>
        <w:tc>
          <w:tcPr>
            <w:tcW w:w="2714" w:type="dxa"/>
            <w:vAlign w:val="top"/>
          </w:tcPr>
          <w:p w14:paraId="010C0071">
            <w:pPr>
              <w:pStyle w:val="8"/>
              <w:spacing w:before="97" w:line="244" w:lineRule="auto"/>
              <w:ind w:left="108" w:right="94"/>
              <w:jc w:val="both"/>
              <w:rPr>
                <w:color w:val="auto"/>
                <w:sz w:val="21"/>
              </w:rPr>
            </w:pPr>
            <w:r>
              <w:rPr>
                <w:color w:val="auto"/>
                <w:sz w:val="21"/>
              </w:rPr>
              <w:t>符合裁量规定从轻行政处罚情形的。</w:t>
            </w:r>
          </w:p>
        </w:tc>
        <w:tc>
          <w:tcPr>
            <w:tcW w:w="2717" w:type="dxa"/>
            <w:vAlign w:val="top"/>
          </w:tcPr>
          <w:p w14:paraId="1A61C205">
            <w:pPr>
              <w:pStyle w:val="8"/>
              <w:spacing w:before="97" w:line="244" w:lineRule="auto"/>
              <w:ind w:left="108" w:right="97"/>
              <w:jc w:val="both"/>
              <w:rPr>
                <w:color w:val="auto"/>
                <w:sz w:val="21"/>
              </w:rPr>
            </w:pPr>
            <w:r>
              <w:rPr>
                <w:color w:val="auto"/>
                <w:sz w:val="21"/>
              </w:rPr>
              <w:t>符合裁量规定一般行政处罚情形的。</w:t>
            </w:r>
          </w:p>
        </w:tc>
        <w:tc>
          <w:tcPr>
            <w:tcW w:w="3900" w:type="dxa"/>
            <w:vAlign w:val="top"/>
          </w:tcPr>
          <w:p w14:paraId="4B0E0B3A">
            <w:pPr>
              <w:pStyle w:val="8"/>
              <w:spacing w:before="3"/>
              <w:jc w:val="both"/>
              <w:rPr>
                <w:rFonts w:ascii="Times New Roman"/>
                <w:color w:val="auto"/>
                <w:sz w:val="20"/>
              </w:rPr>
            </w:pPr>
          </w:p>
          <w:p w14:paraId="5049565F">
            <w:pPr>
              <w:pStyle w:val="8"/>
              <w:spacing w:before="1"/>
              <w:ind w:left="106"/>
              <w:jc w:val="both"/>
              <w:rPr>
                <w:color w:val="auto"/>
                <w:sz w:val="21"/>
              </w:rPr>
            </w:pPr>
            <w:r>
              <w:rPr>
                <w:color w:val="auto"/>
                <w:sz w:val="21"/>
              </w:rPr>
              <w:t>符合裁量规定从重行政处罚情形的。</w:t>
            </w:r>
          </w:p>
        </w:tc>
      </w:tr>
      <w:tr w14:paraId="239CE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4" w:hRule="atLeast"/>
        </w:trPr>
        <w:tc>
          <w:tcPr>
            <w:tcW w:w="562" w:type="dxa"/>
            <w:tcBorders>
              <w:top w:val="nil"/>
              <w:bottom w:val="nil"/>
            </w:tcBorders>
            <w:vAlign w:val="top"/>
          </w:tcPr>
          <w:p w14:paraId="61414100">
            <w:pPr>
              <w:pStyle w:val="8"/>
              <w:jc w:val="both"/>
              <w:rPr>
                <w:rFonts w:ascii="Times New Roman"/>
                <w:color w:val="auto"/>
                <w:sz w:val="20"/>
              </w:rPr>
            </w:pPr>
          </w:p>
        </w:tc>
        <w:tc>
          <w:tcPr>
            <w:tcW w:w="636" w:type="dxa"/>
            <w:vMerge w:val="restart"/>
            <w:vAlign w:val="top"/>
          </w:tcPr>
          <w:p w14:paraId="25733AC8">
            <w:pPr>
              <w:pStyle w:val="8"/>
              <w:jc w:val="both"/>
              <w:rPr>
                <w:rFonts w:ascii="Times New Roman"/>
                <w:color w:val="auto"/>
                <w:sz w:val="20"/>
              </w:rPr>
            </w:pPr>
          </w:p>
          <w:p w14:paraId="68441A4C">
            <w:pPr>
              <w:pStyle w:val="8"/>
              <w:jc w:val="both"/>
              <w:rPr>
                <w:rFonts w:ascii="Times New Roman"/>
                <w:color w:val="auto"/>
                <w:sz w:val="20"/>
              </w:rPr>
            </w:pPr>
          </w:p>
          <w:p w14:paraId="01E71A88">
            <w:pPr>
              <w:pStyle w:val="8"/>
              <w:jc w:val="both"/>
              <w:rPr>
                <w:rFonts w:ascii="Times New Roman"/>
                <w:color w:val="auto"/>
                <w:sz w:val="20"/>
              </w:rPr>
            </w:pPr>
          </w:p>
          <w:p w14:paraId="71B939E1">
            <w:pPr>
              <w:pStyle w:val="8"/>
              <w:jc w:val="both"/>
              <w:rPr>
                <w:rFonts w:ascii="Times New Roman"/>
                <w:color w:val="auto"/>
                <w:sz w:val="20"/>
              </w:rPr>
            </w:pPr>
          </w:p>
          <w:p w14:paraId="799E372C">
            <w:pPr>
              <w:pStyle w:val="8"/>
              <w:jc w:val="both"/>
              <w:rPr>
                <w:rFonts w:ascii="Times New Roman"/>
                <w:color w:val="auto"/>
                <w:sz w:val="28"/>
              </w:rPr>
            </w:pPr>
          </w:p>
          <w:p w14:paraId="3F0E6F5E">
            <w:pPr>
              <w:pStyle w:val="8"/>
              <w:spacing w:line="242" w:lineRule="auto"/>
              <w:ind w:left="211" w:right="201"/>
              <w:jc w:val="both"/>
              <w:rPr>
                <w:b/>
                <w:color w:val="auto"/>
                <w:sz w:val="21"/>
              </w:rPr>
            </w:pPr>
            <w:r>
              <w:rPr>
                <w:b/>
                <w:color w:val="auto"/>
                <w:sz w:val="21"/>
              </w:rPr>
              <w:t>裁量基准</w:t>
            </w:r>
          </w:p>
        </w:tc>
        <w:tc>
          <w:tcPr>
            <w:tcW w:w="547" w:type="dxa"/>
            <w:vAlign w:val="top"/>
          </w:tcPr>
          <w:p w14:paraId="0E11BA6B">
            <w:pPr>
              <w:pStyle w:val="8"/>
              <w:spacing w:before="1"/>
              <w:jc w:val="both"/>
              <w:rPr>
                <w:rFonts w:ascii="Times New Roman"/>
                <w:color w:val="auto"/>
                <w:sz w:val="24"/>
              </w:rPr>
            </w:pPr>
          </w:p>
          <w:p w14:paraId="6B2FCD18">
            <w:pPr>
              <w:pStyle w:val="8"/>
              <w:spacing w:line="242" w:lineRule="auto"/>
              <w:ind w:left="167" w:right="157"/>
              <w:jc w:val="both"/>
              <w:rPr>
                <w:b/>
                <w:color w:val="auto"/>
                <w:sz w:val="21"/>
              </w:rPr>
            </w:pPr>
            <w:r>
              <w:rPr>
                <w:b/>
                <w:color w:val="auto"/>
                <w:sz w:val="21"/>
              </w:rPr>
              <w:t>一般情形</w:t>
            </w:r>
          </w:p>
        </w:tc>
        <w:tc>
          <w:tcPr>
            <w:tcW w:w="2715" w:type="dxa"/>
            <w:vAlign w:val="top"/>
          </w:tcPr>
          <w:p w14:paraId="230EE13E">
            <w:pPr>
              <w:pStyle w:val="8"/>
              <w:spacing w:before="140"/>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13550118">
            <w:pPr>
              <w:pStyle w:val="8"/>
              <w:spacing w:before="5"/>
              <w:ind w:left="108"/>
              <w:jc w:val="both"/>
              <w:rPr>
                <w:color w:val="auto"/>
                <w:sz w:val="21"/>
              </w:rPr>
            </w:pPr>
            <w:r>
              <w:rPr>
                <w:color w:val="auto"/>
                <w:spacing w:val="-28"/>
                <w:sz w:val="21"/>
              </w:rPr>
              <w:t xml:space="preserve">处 </w:t>
            </w:r>
            <w:r>
              <w:rPr>
                <w:color w:val="auto"/>
                <w:sz w:val="21"/>
              </w:rPr>
              <w:t>0.1</w:t>
            </w:r>
            <w:r>
              <w:rPr>
                <w:color w:val="auto"/>
                <w:spacing w:val="-21"/>
                <w:sz w:val="21"/>
              </w:rPr>
              <w:t xml:space="preserve"> 万元以上 </w:t>
            </w:r>
            <w:r>
              <w:rPr>
                <w:color w:val="auto"/>
                <w:sz w:val="21"/>
              </w:rPr>
              <w:t>1</w:t>
            </w:r>
            <w:r>
              <w:rPr>
                <w:color w:val="auto"/>
                <w:spacing w:val="-14"/>
                <w:sz w:val="21"/>
              </w:rPr>
              <w:t xml:space="preserve"> 万元以下</w:t>
            </w:r>
          </w:p>
          <w:p w14:paraId="737D43AC">
            <w:pPr>
              <w:pStyle w:val="8"/>
              <w:spacing w:before="2"/>
              <w:ind w:left="108"/>
              <w:jc w:val="both"/>
              <w:rPr>
                <w:color w:val="auto"/>
                <w:sz w:val="21"/>
              </w:rPr>
            </w:pPr>
            <w:r>
              <w:rPr>
                <w:color w:val="auto"/>
                <w:spacing w:val="-11"/>
                <w:sz w:val="21"/>
              </w:rPr>
              <w:t xml:space="preserve">罚款；货值金额 </w:t>
            </w:r>
            <w:r>
              <w:rPr>
                <w:color w:val="auto"/>
                <w:sz w:val="21"/>
              </w:rPr>
              <w:t>1</w:t>
            </w:r>
            <w:r>
              <w:rPr>
                <w:color w:val="auto"/>
                <w:spacing w:val="-12"/>
                <w:sz w:val="21"/>
              </w:rPr>
              <w:t xml:space="preserve"> 万元以上</w:t>
            </w:r>
          </w:p>
          <w:p w14:paraId="4476176A">
            <w:pPr>
              <w:pStyle w:val="8"/>
              <w:spacing w:before="5"/>
              <w:ind w:left="108"/>
              <w:jc w:val="both"/>
              <w:rPr>
                <w:color w:val="auto"/>
                <w:sz w:val="21"/>
              </w:rPr>
            </w:pPr>
            <w:r>
              <w:rPr>
                <w:color w:val="auto"/>
                <w:spacing w:val="-11"/>
                <w:sz w:val="21"/>
              </w:rPr>
              <w:t xml:space="preserve">的，并处货值金额 </w:t>
            </w:r>
            <w:r>
              <w:rPr>
                <w:color w:val="auto"/>
                <w:sz w:val="21"/>
              </w:rPr>
              <w:t>0.3</w:t>
            </w:r>
            <w:r>
              <w:rPr>
                <w:color w:val="auto"/>
                <w:spacing w:val="-19"/>
                <w:sz w:val="21"/>
              </w:rPr>
              <w:t xml:space="preserve"> 倍以</w:t>
            </w:r>
          </w:p>
          <w:p w14:paraId="499092CF">
            <w:pPr>
              <w:pStyle w:val="8"/>
              <w:spacing w:before="2"/>
              <w:ind w:left="108"/>
              <w:jc w:val="both"/>
              <w:rPr>
                <w:color w:val="auto"/>
                <w:sz w:val="21"/>
              </w:rPr>
            </w:pPr>
            <w:r>
              <w:rPr>
                <w:color w:val="auto"/>
                <w:sz w:val="21"/>
              </w:rPr>
              <w:t>上 3 倍以下罚款。</w:t>
            </w:r>
          </w:p>
        </w:tc>
        <w:tc>
          <w:tcPr>
            <w:tcW w:w="2714" w:type="dxa"/>
            <w:vAlign w:val="top"/>
          </w:tcPr>
          <w:p w14:paraId="1C64162D">
            <w:pPr>
              <w:pStyle w:val="8"/>
              <w:spacing w:before="140"/>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26A36870">
            <w:pPr>
              <w:pStyle w:val="8"/>
              <w:spacing w:before="5"/>
              <w:ind w:left="108"/>
              <w:jc w:val="both"/>
              <w:rPr>
                <w:color w:val="auto"/>
                <w:sz w:val="21"/>
              </w:rPr>
            </w:pPr>
            <w:r>
              <w:rPr>
                <w:color w:val="auto"/>
                <w:spacing w:val="-28"/>
                <w:sz w:val="21"/>
              </w:rPr>
              <w:t xml:space="preserve">处 </w:t>
            </w:r>
            <w:r>
              <w:rPr>
                <w:color w:val="auto"/>
                <w:sz w:val="21"/>
              </w:rPr>
              <w:t>1</w:t>
            </w:r>
            <w:r>
              <w:rPr>
                <w:color w:val="auto"/>
                <w:spacing w:val="-21"/>
                <w:sz w:val="21"/>
              </w:rPr>
              <w:t xml:space="preserve"> 万元以上 </w:t>
            </w:r>
            <w:r>
              <w:rPr>
                <w:color w:val="auto"/>
                <w:sz w:val="21"/>
              </w:rPr>
              <w:t>1.6</w:t>
            </w:r>
            <w:r>
              <w:rPr>
                <w:color w:val="auto"/>
                <w:spacing w:val="-13"/>
                <w:sz w:val="21"/>
              </w:rPr>
              <w:t xml:space="preserve"> 万元以下</w:t>
            </w:r>
          </w:p>
          <w:p w14:paraId="12B24A58">
            <w:pPr>
              <w:pStyle w:val="8"/>
              <w:spacing w:before="2"/>
              <w:ind w:left="108"/>
              <w:jc w:val="both"/>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14:paraId="6CAE279F">
            <w:pPr>
              <w:pStyle w:val="8"/>
              <w:spacing w:before="5"/>
              <w:ind w:left="108"/>
              <w:jc w:val="both"/>
              <w:rPr>
                <w:color w:val="auto"/>
                <w:sz w:val="21"/>
              </w:rPr>
            </w:pPr>
            <w:r>
              <w:rPr>
                <w:color w:val="auto"/>
                <w:spacing w:val="-11"/>
                <w:sz w:val="21"/>
              </w:rPr>
              <w:t xml:space="preserve">的，并处货值金额 </w:t>
            </w:r>
            <w:r>
              <w:rPr>
                <w:color w:val="auto"/>
                <w:sz w:val="21"/>
              </w:rPr>
              <w:t>3</w:t>
            </w:r>
            <w:r>
              <w:rPr>
                <w:color w:val="auto"/>
                <w:spacing w:val="-14"/>
                <w:sz w:val="21"/>
              </w:rPr>
              <w:t xml:space="preserve"> 倍以上</w:t>
            </w:r>
          </w:p>
          <w:p w14:paraId="718F7C78">
            <w:pPr>
              <w:pStyle w:val="8"/>
              <w:spacing w:before="2"/>
              <w:ind w:left="108"/>
              <w:jc w:val="both"/>
              <w:rPr>
                <w:color w:val="auto"/>
                <w:sz w:val="21"/>
              </w:rPr>
            </w:pPr>
            <w:r>
              <w:rPr>
                <w:color w:val="auto"/>
                <w:sz w:val="21"/>
              </w:rPr>
              <w:t>5.1 倍以下罚款。</w:t>
            </w:r>
          </w:p>
        </w:tc>
        <w:tc>
          <w:tcPr>
            <w:tcW w:w="2717" w:type="dxa"/>
            <w:vAlign w:val="top"/>
          </w:tcPr>
          <w:p w14:paraId="4420974F">
            <w:pPr>
              <w:pStyle w:val="8"/>
              <w:spacing w:before="140"/>
              <w:ind w:left="108"/>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41C01056">
            <w:pPr>
              <w:pStyle w:val="8"/>
              <w:spacing w:before="5"/>
              <w:ind w:left="108"/>
              <w:jc w:val="both"/>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6"/>
                <w:sz w:val="21"/>
              </w:rPr>
              <w:t xml:space="preserve"> 万元以</w:t>
            </w:r>
          </w:p>
          <w:p w14:paraId="664265AE">
            <w:pPr>
              <w:pStyle w:val="8"/>
              <w:spacing w:before="2"/>
              <w:ind w:left="108"/>
              <w:jc w:val="both"/>
              <w:rPr>
                <w:color w:val="auto"/>
                <w:sz w:val="21"/>
              </w:rPr>
            </w:pPr>
            <w:r>
              <w:rPr>
                <w:color w:val="auto"/>
                <w:spacing w:val="-11"/>
                <w:sz w:val="21"/>
              </w:rPr>
              <w:t xml:space="preserve">下罚款；货值金额 </w:t>
            </w:r>
            <w:r>
              <w:rPr>
                <w:color w:val="auto"/>
                <w:sz w:val="21"/>
              </w:rPr>
              <w:t>1</w:t>
            </w:r>
            <w:r>
              <w:rPr>
                <w:color w:val="auto"/>
                <w:spacing w:val="-14"/>
                <w:sz w:val="21"/>
              </w:rPr>
              <w:t xml:space="preserve"> 万元以</w:t>
            </w:r>
          </w:p>
          <w:p w14:paraId="7BF83947">
            <w:pPr>
              <w:pStyle w:val="8"/>
              <w:spacing w:before="5"/>
              <w:ind w:left="108"/>
              <w:jc w:val="both"/>
              <w:rPr>
                <w:color w:val="auto"/>
                <w:sz w:val="21"/>
              </w:rPr>
            </w:pPr>
            <w:r>
              <w:rPr>
                <w:color w:val="auto"/>
                <w:spacing w:val="-11"/>
                <w:sz w:val="21"/>
              </w:rPr>
              <w:t xml:space="preserve">上的，并处货值金额 </w:t>
            </w:r>
            <w:r>
              <w:rPr>
                <w:color w:val="auto"/>
                <w:sz w:val="21"/>
              </w:rPr>
              <w:t>5.1</w:t>
            </w:r>
            <w:r>
              <w:rPr>
                <w:color w:val="auto"/>
                <w:spacing w:val="-24"/>
                <w:sz w:val="21"/>
              </w:rPr>
              <w:t xml:space="preserve"> 倍</w:t>
            </w:r>
          </w:p>
          <w:p w14:paraId="52050150">
            <w:pPr>
              <w:pStyle w:val="8"/>
              <w:spacing w:before="2"/>
              <w:ind w:left="108"/>
              <w:jc w:val="both"/>
              <w:rPr>
                <w:color w:val="auto"/>
                <w:sz w:val="21"/>
              </w:rPr>
            </w:pPr>
            <w:r>
              <w:rPr>
                <w:color w:val="auto"/>
                <w:sz w:val="21"/>
              </w:rPr>
              <w:t>以上 7.9 倍以下罚款。</w:t>
            </w:r>
          </w:p>
        </w:tc>
        <w:tc>
          <w:tcPr>
            <w:tcW w:w="3900" w:type="dxa"/>
            <w:vAlign w:val="top"/>
          </w:tcPr>
          <w:p w14:paraId="2106660B">
            <w:pPr>
              <w:jc w:val="both"/>
              <w:rPr>
                <w:rFonts w:ascii="仿宋" w:hAnsi="仿宋" w:eastAsia="仿宋" w:cs="仿宋"/>
                <w:color w:val="auto"/>
                <w:kern w:val="2"/>
                <w:sz w:val="21"/>
                <w:szCs w:val="22"/>
                <w:lang w:val="zh-CN" w:eastAsia="zh-CN" w:bidi="zh-CN"/>
              </w:rPr>
            </w:pPr>
          </w:p>
          <w:p w14:paraId="0B71C565">
            <w:pPr>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货值金额不足 1 万元的，并处 2.4 万元以</w:t>
            </w:r>
          </w:p>
          <w:p w14:paraId="1D81B88E">
            <w:pPr>
              <w:jc w:val="both"/>
              <w:rPr>
                <w:rFonts w:ascii="仿宋" w:hAnsi="仿宋" w:eastAsia="仿宋" w:cs="仿宋"/>
                <w:color w:val="auto"/>
                <w:kern w:val="2"/>
                <w:sz w:val="21"/>
                <w:szCs w:val="22"/>
                <w:lang w:val="zh-CN" w:eastAsia="zh-CN" w:bidi="zh-CN"/>
              </w:rPr>
            </w:pPr>
            <w:r>
              <w:rPr>
                <w:rFonts w:ascii="仿宋" w:hAnsi="仿宋" w:eastAsia="仿宋" w:cs="仿宋"/>
                <w:color w:val="auto"/>
                <w:kern w:val="2"/>
                <w:sz w:val="21"/>
                <w:szCs w:val="22"/>
                <w:lang w:val="zh-CN" w:eastAsia="zh-CN" w:bidi="zh-CN"/>
              </w:rPr>
              <w:t>上 3 万元以下罚款；货值金额 1 万元以上</w:t>
            </w:r>
          </w:p>
          <w:p w14:paraId="6335D26E">
            <w:pPr>
              <w:pStyle w:val="8"/>
              <w:spacing w:before="0" w:line="240" w:lineRule="auto"/>
              <w:ind w:left="0" w:right="0"/>
              <w:jc w:val="both"/>
              <w:rPr>
                <w:color w:val="auto"/>
                <w:sz w:val="21"/>
              </w:rPr>
            </w:pPr>
            <w:r>
              <w:rPr>
                <w:rFonts w:ascii="仿宋" w:hAnsi="仿宋" w:eastAsia="仿宋" w:cs="仿宋"/>
                <w:color w:val="auto"/>
                <w:kern w:val="2"/>
                <w:sz w:val="21"/>
                <w:szCs w:val="22"/>
                <w:lang w:val="zh-CN" w:eastAsia="zh-CN" w:bidi="zh-CN"/>
              </w:rPr>
              <w:t xml:space="preserve">的，并处货值金额 7.9 倍以上 </w:t>
            </w:r>
            <w:r>
              <w:rPr>
                <w:color w:val="auto"/>
                <w:sz w:val="21"/>
              </w:rPr>
              <w:t>10</w:t>
            </w:r>
            <w:r>
              <w:rPr>
                <w:color w:val="auto"/>
                <w:spacing w:val="-16"/>
                <w:sz w:val="21"/>
              </w:rPr>
              <w:t xml:space="preserve"> 倍以下</w:t>
            </w:r>
            <w:r>
              <w:rPr>
                <w:color w:val="auto"/>
                <w:sz w:val="21"/>
              </w:rPr>
              <w:t>罚款。</w:t>
            </w:r>
          </w:p>
        </w:tc>
      </w:tr>
      <w:tr w14:paraId="3A288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62" w:type="dxa"/>
            <w:tcBorders>
              <w:top w:val="nil"/>
              <w:bottom w:val="nil"/>
            </w:tcBorders>
            <w:vAlign w:val="top"/>
          </w:tcPr>
          <w:p w14:paraId="4146BD8E">
            <w:pPr>
              <w:pStyle w:val="8"/>
              <w:jc w:val="both"/>
              <w:rPr>
                <w:rFonts w:ascii="Times New Roman"/>
                <w:color w:val="auto"/>
                <w:sz w:val="20"/>
              </w:rPr>
            </w:pPr>
          </w:p>
        </w:tc>
        <w:tc>
          <w:tcPr>
            <w:tcW w:w="636" w:type="dxa"/>
            <w:vMerge w:val="continue"/>
            <w:tcBorders>
              <w:top w:val="nil"/>
            </w:tcBorders>
            <w:vAlign w:val="top"/>
          </w:tcPr>
          <w:p w14:paraId="1F8F695F">
            <w:pPr>
              <w:jc w:val="both"/>
              <w:rPr>
                <w:color w:val="auto"/>
                <w:sz w:val="2"/>
                <w:szCs w:val="2"/>
              </w:rPr>
            </w:pPr>
          </w:p>
        </w:tc>
        <w:tc>
          <w:tcPr>
            <w:tcW w:w="547" w:type="dxa"/>
            <w:vMerge w:val="restart"/>
            <w:vAlign w:val="top"/>
          </w:tcPr>
          <w:p w14:paraId="11742C22">
            <w:pPr>
              <w:pStyle w:val="8"/>
              <w:spacing w:before="142" w:line="242" w:lineRule="auto"/>
              <w:ind w:left="167" w:right="157"/>
              <w:jc w:val="both"/>
              <w:rPr>
                <w:b/>
                <w:color w:val="auto"/>
                <w:sz w:val="21"/>
              </w:rPr>
            </w:pPr>
            <w:r>
              <w:rPr>
                <w:b/>
                <w:color w:val="auto"/>
                <w:sz w:val="21"/>
              </w:rPr>
              <w:t>情节严重的</w:t>
            </w:r>
          </w:p>
        </w:tc>
        <w:tc>
          <w:tcPr>
            <w:tcW w:w="2715" w:type="dxa"/>
            <w:vMerge w:val="restart"/>
            <w:vAlign w:val="top"/>
          </w:tcPr>
          <w:p w14:paraId="581F23AE">
            <w:pPr>
              <w:pStyle w:val="8"/>
              <w:jc w:val="both"/>
              <w:rPr>
                <w:rFonts w:ascii="Times New Roman"/>
                <w:color w:val="auto"/>
                <w:sz w:val="20"/>
              </w:rPr>
            </w:pPr>
          </w:p>
        </w:tc>
        <w:tc>
          <w:tcPr>
            <w:tcW w:w="2714" w:type="dxa"/>
            <w:vMerge w:val="restart"/>
            <w:vAlign w:val="top"/>
          </w:tcPr>
          <w:p w14:paraId="1F369FD5">
            <w:pPr>
              <w:jc w:val="both"/>
              <w:rPr>
                <w:color w:val="auto"/>
                <w:sz w:val="21"/>
              </w:rPr>
            </w:pPr>
            <w:r>
              <w:rPr>
                <w:rFonts w:ascii="仿宋" w:hAnsi="仿宋" w:eastAsia="仿宋" w:cs="仿宋"/>
                <w:color w:val="auto"/>
                <w:kern w:val="2"/>
                <w:sz w:val="21"/>
                <w:szCs w:val="22"/>
                <w:lang w:val="zh-CN" w:eastAsia="zh-CN" w:bidi="zh-CN"/>
              </w:rPr>
              <w:t>对法定代表人或者主要负责人、直接负责的主管人员和其他直接责任人员处以其上一年度从本单位取得收入的 1 倍以上 1.3 倍以下罚款。</w:t>
            </w:r>
          </w:p>
        </w:tc>
        <w:tc>
          <w:tcPr>
            <w:tcW w:w="2717" w:type="dxa"/>
            <w:vMerge w:val="restart"/>
            <w:vAlign w:val="top"/>
          </w:tcPr>
          <w:p w14:paraId="6DC696F1">
            <w:pPr>
              <w:jc w:val="both"/>
              <w:rPr>
                <w:color w:val="auto"/>
                <w:sz w:val="21"/>
              </w:rPr>
            </w:pPr>
            <w:r>
              <w:rPr>
                <w:rFonts w:ascii="仿宋" w:hAnsi="仿宋" w:eastAsia="仿宋" w:cs="仿宋"/>
                <w:color w:val="auto"/>
                <w:kern w:val="2"/>
                <w:sz w:val="21"/>
                <w:szCs w:val="22"/>
                <w:lang w:val="zh-CN" w:eastAsia="zh-CN" w:bidi="zh-CN"/>
              </w:rPr>
              <w:t>对法定代表人或者主要负责人、直接负责的主管人员和其他直接责任人员处以其上一年度从本单位取得收入的 1.3 倍以上1.7倍以下罚款。</w:t>
            </w:r>
          </w:p>
        </w:tc>
        <w:tc>
          <w:tcPr>
            <w:tcW w:w="3900" w:type="dxa"/>
            <w:vMerge w:val="restart"/>
            <w:vAlign w:val="top"/>
          </w:tcPr>
          <w:p w14:paraId="465DA695">
            <w:pPr>
              <w:pStyle w:val="8"/>
              <w:spacing w:before="6" w:line="249" w:lineRule="exact"/>
              <w:jc w:val="both"/>
              <w:rPr>
                <w:color w:val="auto"/>
                <w:sz w:val="21"/>
              </w:rPr>
            </w:pPr>
            <w:r>
              <w:rPr>
                <w:color w:val="auto"/>
                <w:sz w:val="21"/>
              </w:rPr>
              <w:t>对法定代表人或者主要负责人、直接负责的主管人员和其他直接责任人员处以其上一年度从本单位取得收入的 1.7 倍以上2 倍以下罚款。</w:t>
            </w:r>
          </w:p>
        </w:tc>
      </w:tr>
      <w:tr w14:paraId="3127A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562" w:type="dxa"/>
            <w:tcBorders>
              <w:top w:val="nil"/>
              <w:bottom w:val="nil"/>
            </w:tcBorders>
            <w:vAlign w:val="top"/>
          </w:tcPr>
          <w:p w14:paraId="70049967">
            <w:pPr>
              <w:pStyle w:val="8"/>
              <w:jc w:val="both"/>
              <w:rPr>
                <w:rFonts w:ascii="Times New Roman"/>
                <w:color w:val="auto"/>
                <w:sz w:val="20"/>
              </w:rPr>
            </w:pPr>
          </w:p>
        </w:tc>
        <w:tc>
          <w:tcPr>
            <w:tcW w:w="636" w:type="dxa"/>
            <w:vMerge w:val="continue"/>
            <w:tcBorders>
              <w:top w:val="nil"/>
            </w:tcBorders>
            <w:vAlign w:val="top"/>
          </w:tcPr>
          <w:p w14:paraId="0D8DE2FF">
            <w:pPr>
              <w:jc w:val="both"/>
              <w:rPr>
                <w:color w:val="auto"/>
                <w:sz w:val="2"/>
                <w:szCs w:val="2"/>
              </w:rPr>
            </w:pPr>
          </w:p>
        </w:tc>
        <w:tc>
          <w:tcPr>
            <w:tcW w:w="547" w:type="dxa"/>
            <w:vMerge w:val="continue"/>
            <w:tcBorders>
              <w:top w:val="nil"/>
            </w:tcBorders>
            <w:vAlign w:val="top"/>
          </w:tcPr>
          <w:p w14:paraId="598BBA71">
            <w:pPr>
              <w:jc w:val="both"/>
              <w:rPr>
                <w:color w:val="auto"/>
                <w:sz w:val="2"/>
                <w:szCs w:val="2"/>
              </w:rPr>
            </w:pPr>
          </w:p>
        </w:tc>
        <w:tc>
          <w:tcPr>
            <w:tcW w:w="2715" w:type="dxa"/>
            <w:vMerge w:val="continue"/>
            <w:tcBorders>
              <w:top w:val="nil"/>
            </w:tcBorders>
            <w:vAlign w:val="top"/>
          </w:tcPr>
          <w:p w14:paraId="00E99F2A">
            <w:pPr>
              <w:jc w:val="both"/>
              <w:rPr>
                <w:color w:val="auto"/>
                <w:sz w:val="2"/>
                <w:szCs w:val="2"/>
              </w:rPr>
            </w:pPr>
          </w:p>
        </w:tc>
        <w:tc>
          <w:tcPr>
            <w:tcW w:w="2714" w:type="dxa"/>
            <w:vMerge w:val="continue"/>
            <w:vAlign w:val="top"/>
          </w:tcPr>
          <w:p w14:paraId="49ABB8AB">
            <w:pPr>
              <w:pStyle w:val="8"/>
              <w:spacing w:before="0" w:line="265" w:lineRule="exact"/>
              <w:ind w:left="108"/>
              <w:jc w:val="both"/>
              <w:rPr>
                <w:color w:val="auto"/>
                <w:sz w:val="21"/>
              </w:rPr>
            </w:pPr>
          </w:p>
        </w:tc>
        <w:tc>
          <w:tcPr>
            <w:tcW w:w="2717" w:type="dxa"/>
            <w:vMerge w:val="continue"/>
            <w:vAlign w:val="top"/>
          </w:tcPr>
          <w:p w14:paraId="27EE9B64">
            <w:pPr>
              <w:pStyle w:val="8"/>
              <w:spacing w:before="2" w:line="246" w:lineRule="exact"/>
              <w:ind w:left="108"/>
              <w:jc w:val="both"/>
              <w:rPr>
                <w:color w:val="auto"/>
                <w:sz w:val="21"/>
              </w:rPr>
            </w:pPr>
          </w:p>
        </w:tc>
        <w:tc>
          <w:tcPr>
            <w:tcW w:w="3900" w:type="dxa"/>
            <w:vMerge w:val="continue"/>
            <w:vAlign w:val="top"/>
          </w:tcPr>
          <w:p w14:paraId="3743AA88">
            <w:pPr>
              <w:pStyle w:val="8"/>
              <w:spacing w:before="2" w:line="246" w:lineRule="exact"/>
              <w:ind w:left="106"/>
              <w:jc w:val="both"/>
              <w:rPr>
                <w:color w:val="auto"/>
                <w:sz w:val="21"/>
              </w:rPr>
            </w:pPr>
          </w:p>
        </w:tc>
      </w:tr>
      <w:tr w14:paraId="60E1A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562" w:type="dxa"/>
            <w:tcBorders>
              <w:top w:val="nil"/>
            </w:tcBorders>
            <w:vAlign w:val="top"/>
          </w:tcPr>
          <w:p w14:paraId="3168CA14">
            <w:pPr>
              <w:pStyle w:val="8"/>
              <w:jc w:val="both"/>
              <w:rPr>
                <w:rFonts w:ascii="Times New Roman"/>
                <w:color w:val="auto"/>
                <w:sz w:val="20"/>
              </w:rPr>
            </w:pPr>
          </w:p>
        </w:tc>
        <w:tc>
          <w:tcPr>
            <w:tcW w:w="636" w:type="dxa"/>
            <w:vMerge w:val="continue"/>
            <w:tcBorders>
              <w:top w:val="nil"/>
            </w:tcBorders>
            <w:vAlign w:val="top"/>
          </w:tcPr>
          <w:p w14:paraId="1B3B1BA4">
            <w:pPr>
              <w:jc w:val="both"/>
              <w:rPr>
                <w:color w:val="auto"/>
                <w:sz w:val="2"/>
                <w:szCs w:val="2"/>
              </w:rPr>
            </w:pPr>
          </w:p>
        </w:tc>
        <w:tc>
          <w:tcPr>
            <w:tcW w:w="547" w:type="dxa"/>
            <w:vMerge w:val="continue"/>
            <w:tcBorders>
              <w:top w:val="nil"/>
            </w:tcBorders>
            <w:vAlign w:val="top"/>
          </w:tcPr>
          <w:p w14:paraId="31644EE4">
            <w:pPr>
              <w:jc w:val="both"/>
              <w:rPr>
                <w:color w:val="auto"/>
                <w:sz w:val="2"/>
                <w:szCs w:val="2"/>
              </w:rPr>
            </w:pPr>
          </w:p>
        </w:tc>
        <w:tc>
          <w:tcPr>
            <w:tcW w:w="2715" w:type="dxa"/>
            <w:vMerge w:val="continue"/>
            <w:tcBorders>
              <w:top w:val="nil"/>
            </w:tcBorders>
            <w:vAlign w:val="top"/>
          </w:tcPr>
          <w:p w14:paraId="4E7F550E">
            <w:pPr>
              <w:jc w:val="both"/>
              <w:rPr>
                <w:color w:val="auto"/>
                <w:sz w:val="2"/>
                <w:szCs w:val="2"/>
              </w:rPr>
            </w:pPr>
          </w:p>
        </w:tc>
        <w:tc>
          <w:tcPr>
            <w:tcW w:w="2714" w:type="dxa"/>
            <w:vMerge w:val="continue"/>
            <w:vAlign w:val="top"/>
          </w:tcPr>
          <w:p w14:paraId="6C6E9A30">
            <w:pPr>
              <w:pStyle w:val="8"/>
              <w:spacing w:before="2" w:line="257" w:lineRule="exact"/>
              <w:ind w:left="108"/>
              <w:jc w:val="both"/>
              <w:rPr>
                <w:color w:val="auto"/>
                <w:sz w:val="21"/>
              </w:rPr>
            </w:pPr>
          </w:p>
        </w:tc>
        <w:tc>
          <w:tcPr>
            <w:tcW w:w="2717" w:type="dxa"/>
            <w:vMerge w:val="continue"/>
            <w:vAlign w:val="top"/>
          </w:tcPr>
          <w:p w14:paraId="2589CAB2">
            <w:pPr>
              <w:pStyle w:val="8"/>
              <w:spacing w:before="2" w:line="257" w:lineRule="exact"/>
              <w:ind w:left="108"/>
              <w:jc w:val="both"/>
              <w:rPr>
                <w:color w:val="auto"/>
                <w:sz w:val="21"/>
              </w:rPr>
            </w:pPr>
          </w:p>
        </w:tc>
        <w:tc>
          <w:tcPr>
            <w:tcW w:w="3900" w:type="dxa"/>
            <w:vMerge w:val="continue"/>
            <w:vAlign w:val="top"/>
          </w:tcPr>
          <w:p w14:paraId="09E745CB">
            <w:pPr>
              <w:pStyle w:val="8"/>
              <w:spacing w:line="267" w:lineRule="exact"/>
              <w:ind w:left="106"/>
              <w:jc w:val="both"/>
              <w:rPr>
                <w:color w:val="auto"/>
                <w:sz w:val="21"/>
              </w:rPr>
            </w:pPr>
          </w:p>
        </w:tc>
      </w:tr>
    </w:tbl>
    <w:p w14:paraId="5919EA13">
      <w:pPr>
        <w:spacing w:after="0" w:line="267" w:lineRule="exact"/>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179"/>
        <w:gridCol w:w="2715"/>
        <w:gridCol w:w="2714"/>
        <w:gridCol w:w="2717"/>
        <w:gridCol w:w="3900"/>
      </w:tblGrid>
      <w:tr w14:paraId="2523E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567" w:type="dxa"/>
            <w:vMerge w:val="restart"/>
            <w:vAlign w:val="top"/>
          </w:tcPr>
          <w:p w14:paraId="3B23054F">
            <w:pPr>
              <w:pStyle w:val="8"/>
              <w:jc w:val="both"/>
              <w:rPr>
                <w:rFonts w:ascii="Times New Roman"/>
                <w:color w:val="auto"/>
                <w:sz w:val="20"/>
              </w:rPr>
            </w:pPr>
          </w:p>
          <w:p w14:paraId="6F9A4ECC">
            <w:pPr>
              <w:pStyle w:val="8"/>
              <w:jc w:val="both"/>
              <w:rPr>
                <w:rFonts w:ascii="Times New Roman"/>
                <w:color w:val="auto"/>
                <w:sz w:val="20"/>
              </w:rPr>
            </w:pPr>
          </w:p>
          <w:p w14:paraId="3448BEEE">
            <w:pPr>
              <w:pStyle w:val="8"/>
              <w:jc w:val="both"/>
              <w:rPr>
                <w:rFonts w:ascii="Times New Roman"/>
                <w:color w:val="auto"/>
                <w:sz w:val="20"/>
              </w:rPr>
            </w:pPr>
          </w:p>
          <w:p w14:paraId="144C85BC">
            <w:pPr>
              <w:pStyle w:val="8"/>
              <w:jc w:val="both"/>
              <w:rPr>
                <w:rFonts w:ascii="Times New Roman"/>
                <w:color w:val="auto"/>
                <w:sz w:val="20"/>
              </w:rPr>
            </w:pPr>
          </w:p>
          <w:p w14:paraId="3F191072">
            <w:pPr>
              <w:pStyle w:val="8"/>
              <w:jc w:val="both"/>
              <w:rPr>
                <w:rFonts w:ascii="Times New Roman"/>
                <w:color w:val="auto"/>
                <w:sz w:val="20"/>
              </w:rPr>
            </w:pPr>
          </w:p>
          <w:p w14:paraId="45A8BDC6">
            <w:pPr>
              <w:pStyle w:val="8"/>
              <w:jc w:val="both"/>
              <w:rPr>
                <w:rFonts w:ascii="Times New Roman"/>
                <w:color w:val="auto"/>
                <w:sz w:val="20"/>
              </w:rPr>
            </w:pPr>
          </w:p>
          <w:p w14:paraId="5F1BB4FE">
            <w:pPr>
              <w:pStyle w:val="8"/>
              <w:jc w:val="both"/>
              <w:rPr>
                <w:rFonts w:ascii="Times New Roman"/>
                <w:color w:val="auto"/>
                <w:sz w:val="20"/>
              </w:rPr>
            </w:pPr>
          </w:p>
          <w:p w14:paraId="6C95DEF9">
            <w:pPr>
              <w:pStyle w:val="8"/>
              <w:jc w:val="both"/>
              <w:rPr>
                <w:rFonts w:ascii="Times New Roman"/>
                <w:color w:val="auto"/>
                <w:sz w:val="20"/>
              </w:rPr>
            </w:pPr>
          </w:p>
          <w:p w14:paraId="375D6E46">
            <w:pPr>
              <w:pStyle w:val="8"/>
              <w:jc w:val="both"/>
              <w:rPr>
                <w:rFonts w:ascii="Times New Roman"/>
                <w:color w:val="auto"/>
                <w:sz w:val="20"/>
              </w:rPr>
            </w:pPr>
          </w:p>
          <w:p w14:paraId="3EA02EFF">
            <w:pPr>
              <w:pStyle w:val="8"/>
              <w:jc w:val="both"/>
              <w:rPr>
                <w:rFonts w:ascii="Times New Roman"/>
                <w:color w:val="auto"/>
                <w:sz w:val="20"/>
              </w:rPr>
            </w:pPr>
          </w:p>
          <w:p w14:paraId="472A548B">
            <w:pPr>
              <w:pStyle w:val="8"/>
              <w:jc w:val="both"/>
              <w:rPr>
                <w:rFonts w:ascii="Times New Roman"/>
                <w:color w:val="auto"/>
                <w:sz w:val="20"/>
              </w:rPr>
            </w:pPr>
          </w:p>
          <w:p w14:paraId="1B9060BB">
            <w:pPr>
              <w:pStyle w:val="8"/>
              <w:jc w:val="both"/>
              <w:rPr>
                <w:rFonts w:ascii="Times New Roman"/>
                <w:color w:val="auto"/>
                <w:sz w:val="20"/>
              </w:rPr>
            </w:pPr>
          </w:p>
          <w:p w14:paraId="0F360B05">
            <w:pPr>
              <w:pStyle w:val="8"/>
              <w:jc w:val="both"/>
              <w:rPr>
                <w:rFonts w:ascii="Times New Roman"/>
                <w:color w:val="auto"/>
                <w:sz w:val="20"/>
              </w:rPr>
            </w:pPr>
          </w:p>
          <w:p w14:paraId="3CEF9DF6">
            <w:pPr>
              <w:pStyle w:val="8"/>
              <w:jc w:val="both"/>
              <w:rPr>
                <w:rFonts w:ascii="Times New Roman"/>
                <w:color w:val="auto"/>
                <w:sz w:val="20"/>
              </w:rPr>
            </w:pPr>
          </w:p>
          <w:p w14:paraId="7CBDC8A2">
            <w:pPr>
              <w:pStyle w:val="8"/>
              <w:spacing w:before="8"/>
              <w:jc w:val="both"/>
              <w:rPr>
                <w:rFonts w:ascii="Times New Roman"/>
                <w:color w:val="auto"/>
                <w:sz w:val="25"/>
              </w:rPr>
            </w:pPr>
          </w:p>
          <w:p w14:paraId="26C19213">
            <w:pPr>
              <w:pStyle w:val="8"/>
              <w:ind w:left="4"/>
              <w:jc w:val="center"/>
              <w:rPr>
                <w:b/>
                <w:color w:val="auto"/>
                <w:sz w:val="21"/>
              </w:rPr>
            </w:pPr>
            <w:r>
              <w:rPr>
                <w:b w:val="0"/>
                <w:bCs/>
                <w:color w:val="auto"/>
                <w:w w:val="99"/>
                <w:sz w:val="21"/>
              </w:rPr>
              <w:t>4</w:t>
            </w:r>
          </w:p>
        </w:tc>
        <w:tc>
          <w:tcPr>
            <w:tcW w:w="1179" w:type="dxa"/>
            <w:vAlign w:val="top"/>
          </w:tcPr>
          <w:p w14:paraId="7B8D76E5">
            <w:pPr>
              <w:pStyle w:val="8"/>
              <w:jc w:val="both"/>
              <w:rPr>
                <w:rFonts w:ascii="Times New Roman"/>
                <w:color w:val="auto"/>
                <w:sz w:val="20"/>
              </w:rPr>
            </w:pPr>
          </w:p>
          <w:p w14:paraId="76D8B4BF">
            <w:pPr>
              <w:pStyle w:val="8"/>
              <w:spacing w:before="145"/>
              <w:ind w:left="145" w:right="139"/>
              <w:jc w:val="both"/>
              <w:rPr>
                <w:b/>
                <w:color w:val="auto"/>
                <w:sz w:val="21"/>
              </w:rPr>
            </w:pPr>
            <w:r>
              <w:rPr>
                <w:b/>
                <w:color w:val="auto"/>
                <w:sz w:val="21"/>
              </w:rPr>
              <w:t>违法行为</w:t>
            </w:r>
          </w:p>
        </w:tc>
        <w:tc>
          <w:tcPr>
            <w:tcW w:w="12046" w:type="dxa"/>
            <w:gridSpan w:val="4"/>
            <w:vAlign w:val="top"/>
          </w:tcPr>
          <w:p w14:paraId="3E26FEEC">
            <w:pPr>
              <w:pStyle w:val="8"/>
              <w:jc w:val="both"/>
              <w:rPr>
                <w:rFonts w:ascii="Times New Roman"/>
                <w:color w:val="auto"/>
                <w:sz w:val="20"/>
              </w:rPr>
            </w:pPr>
          </w:p>
          <w:p w14:paraId="2F94CA98">
            <w:pPr>
              <w:pStyle w:val="8"/>
              <w:spacing w:before="145"/>
              <w:ind w:left="527"/>
              <w:jc w:val="both"/>
              <w:rPr>
                <w:color w:val="auto"/>
                <w:sz w:val="21"/>
              </w:rPr>
            </w:pPr>
            <w:r>
              <w:rPr>
                <w:color w:val="auto"/>
                <w:sz w:val="21"/>
              </w:rPr>
              <w:t>生产经营的化妆品的标签存在瑕疵但不影响质量安全且不会对消费者造成误导的</w:t>
            </w:r>
          </w:p>
        </w:tc>
      </w:tr>
      <w:tr w14:paraId="607BB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3" w:hRule="atLeast"/>
        </w:trPr>
        <w:tc>
          <w:tcPr>
            <w:tcW w:w="567" w:type="dxa"/>
            <w:vMerge w:val="continue"/>
            <w:tcBorders>
              <w:top w:val="nil"/>
            </w:tcBorders>
            <w:vAlign w:val="top"/>
          </w:tcPr>
          <w:p w14:paraId="1B32DE50">
            <w:pPr>
              <w:jc w:val="both"/>
              <w:rPr>
                <w:color w:val="auto"/>
                <w:sz w:val="2"/>
                <w:szCs w:val="2"/>
              </w:rPr>
            </w:pPr>
          </w:p>
        </w:tc>
        <w:tc>
          <w:tcPr>
            <w:tcW w:w="1179" w:type="dxa"/>
            <w:vAlign w:val="top"/>
          </w:tcPr>
          <w:p w14:paraId="3EE77DE0">
            <w:pPr>
              <w:pStyle w:val="8"/>
              <w:jc w:val="both"/>
              <w:rPr>
                <w:rFonts w:ascii="Times New Roman"/>
                <w:color w:val="auto"/>
                <w:sz w:val="20"/>
              </w:rPr>
            </w:pPr>
          </w:p>
          <w:p w14:paraId="149AC08D">
            <w:pPr>
              <w:pStyle w:val="8"/>
              <w:jc w:val="both"/>
              <w:rPr>
                <w:rFonts w:ascii="Times New Roman"/>
                <w:color w:val="auto"/>
                <w:sz w:val="20"/>
              </w:rPr>
            </w:pPr>
          </w:p>
          <w:p w14:paraId="070E702D">
            <w:pPr>
              <w:pStyle w:val="8"/>
              <w:jc w:val="both"/>
              <w:rPr>
                <w:rFonts w:ascii="Times New Roman"/>
                <w:color w:val="auto"/>
                <w:sz w:val="20"/>
              </w:rPr>
            </w:pPr>
          </w:p>
          <w:p w14:paraId="57152BB5">
            <w:pPr>
              <w:pStyle w:val="8"/>
              <w:spacing w:before="5"/>
              <w:jc w:val="both"/>
              <w:rPr>
                <w:rFonts w:ascii="Times New Roman"/>
                <w:color w:val="auto"/>
                <w:sz w:val="24"/>
              </w:rPr>
            </w:pPr>
          </w:p>
          <w:p w14:paraId="74F8D7DB">
            <w:pPr>
              <w:pStyle w:val="8"/>
              <w:ind w:left="145" w:right="139"/>
              <w:jc w:val="both"/>
              <w:rPr>
                <w:b/>
                <w:color w:val="auto"/>
                <w:sz w:val="21"/>
              </w:rPr>
            </w:pPr>
            <w:r>
              <w:rPr>
                <w:b/>
                <w:color w:val="auto"/>
                <w:sz w:val="21"/>
              </w:rPr>
              <w:t>处罚依据</w:t>
            </w:r>
          </w:p>
        </w:tc>
        <w:tc>
          <w:tcPr>
            <w:tcW w:w="12046" w:type="dxa"/>
            <w:gridSpan w:val="4"/>
            <w:vAlign w:val="top"/>
          </w:tcPr>
          <w:p w14:paraId="15D7EE9D">
            <w:pPr>
              <w:pStyle w:val="8"/>
              <w:jc w:val="both"/>
              <w:rPr>
                <w:rFonts w:ascii="Times New Roman"/>
                <w:color w:val="auto"/>
                <w:sz w:val="20"/>
              </w:rPr>
            </w:pPr>
          </w:p>
          <w:p w14:paraId="6C9D9732">
            <w:pPr>
              <w:pStyle w:val="8"/>
              <w:jc w:val="both"/>
              <w:rPr>
                <w:rFonts w:ascii="Times New Roman"/>
                <w:color w:val="auto"/>
                <w:sz w:val="20"/>
              </w:rPr>
            </w:pPr>
          </w:p>
          <w:p w14:paraId="1A6502A4">
            <w:pPr>
              <w:pStyle w:val="8"/>
              <w:jc w:val="both"/>
              <w:rPr>
                <w:rFonts w:ascii="Times New Roman"/>
                <w:color w:val="auto"/>
                <w:sz w:val="20"/>
              </w:rPr>
            </w:pPr>
          </w:p>
          <w:p w14:paraId="0946252B">
            <w:pPr>
              <w:pStyle w:val="8"/>
              <w:spacing w:before="147" w:line="242" w:lineRule="auto"/>
              <w:ind w:left="107" w:right="98" w:firstLine="420"/>
              <w:jc w:val="both"/>
              <w:rPr>
                <w:color w:val="auto"/>
                <w:sz w:val="21"/>
              </w:rPr>
            </w:pPr>
            <w:r>
              <w:rPr>
                <w:color w:val="auto"/>
                <w:spacing w:val="-9"/>
                <w:sz w:val="21"/>
              </w:rPr>
              <w:t xml:space="preserve">根据《化妆品监督管理条例》第六十一条第二款规定，由负责药品监督管理的部门责令改正；拒不改正的，处 </w:t>
            </w:r>
            <w:r>
              <w:rPr>
                <w:color w:val="auto"/>
                <w:sz w:val="21"/>
              </w:rPr>
              <w:t>2000</w:t>
            </w:r>
            <w:r>
              <w:rPr>
                <w:color w:val="auto"/>
                <w:spacing w:val="-8"/>
                <w:sz w:val="21"/>
              </w:rPr>
              <w:t xml:space="preserve"> 元以下罚款。</w:t>
            </w:r>
          </w:p>
        </w:tc>
      </w:tr>
      <w:tr w14:paraId="7C853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567" w:type="dxa"/>
            <w:vMerge w:val="continue"/>
            <w:tcBorders>
              <w:top w:val="nil"/>
            </w:tcBorders>
            <w:vAlign w:val="top"/>
          </w:tcPr>
          <w:p w14:paraId="754C5DF7">
            <w:pPr>
              <w:jc w:val="both"/>
              <w:rPr>
                <w:color w:val="auto"/>
                <w:sz w:val="2"/>
                <w:szCs w:val="2"/>
              </w:rPr>
            </w:pPr>
          </w:p>
        </w:tc>
        <w:tc>
          <w:tcPr>
            <w:tcW w:w="1179" w:type="dxa"/>
            <w:vAlign w:val="top"/>
          </w:tcPr>
          <w:p w14:paraId="059D8108">
            <w:pPr>
              <w:pStyle w:val="8"/>
              <w:spacing w:before="147"/>
              <w:ind w:left="145" w:right="139"/>
              <w:jc w:val="both"/>
              <w:rPr>
                <w:b/>
                <w:color w:val="auto"/>
                <w:sz w:val="21"/>
              </w:rPr>
            </w:pPr>
            <w:r>
              <w:rPr>
                <w:b/>
                <w:color w:val="auto"/>
                <w:sz w:val="21"/>
              </w:rPr>
              <w:t>裁量等级</w:t>
            </w:r>
          </w:p>
        </w:tc>
        <w:tc>
          <w:tcPr>
            <w:tcW w:w="2715" w:type="dxa"/>
            <w:vAlign w:val="top"/>
          </w:tcPr>
          <w:p w14:paraId="72C9EB2B">
            <w:pPr>
              <w:pStyle w:val="8"/>
              <w:spacing w:before="147"/>
              <w:ind w:left="107"/>
              <w:jc w:val="both"/>
              <w:rPr>
                <w:b/>
                <w:color w:val="auto"/>
                <w:sz w:val="21"/>
              </w:rPr>
            </w:pPr>
            <w:r>
              <w:rPr>
                <w:b/>
                <w:color w:val="auto"/>
                <w:sz w:val="21"/>
              </w:rPr>
              <w:t>减轻</w:t>
            </w:r>
          </w:p>
        </w:tc>
        <w:tc>
          <w:tcPr>
            <w:tcW w:w="2714" w:type="dxa"/>
            <w:vAlign w:val="top"/>
          </w:tcPr>
          <w:p w14:paraId="27A25A8A">
            <w:pPr>
              <w:pStyle w:val="8"/>
              <w:spacing w:before="147"/>
              <w:ind w:left="107"/>
              <w:jc w:val="both"/>
              <w:rPr>
                <w:b/>
                <w:color w:val="auto"/>
                <w:sz w:val="21"/>
              </w:rPr>
            </w:pPr>
            <w:r>
              <w:rPr>
                <w:b/>
                <w:color w:val="auto"/>
                <w:sz w:val="21"/>
              </w:rPr>
              <w:t>从轻</w:t>
            </w:r>
          </w:p>
        </w:tc>
        <w:tc>
          <w:tcPr>
            <w:tcW w:w="2717" w:type="dxa"/>
            <w:vAlign w:val="top"/>
          </w:tcPr>
          <w:p w14:paraId="7C032F72">
            <w:pPr>
              <w:pStyle w:val="8"/>
              <w:spacing w:before="147"/>
              <w:ind w:left="107"/>
              <w:jc w:val="both"/>
              <w:rPr>
                <w:b/>
                <w:color w:val="auto"/>
                <w:sz w:val="21"/>
              </w:rPr>
            </w:pPr>
            <w:r>
              <w:rPr>
                <w:b/>
                <w:color w:val="auto"/>
                <w:sz w:val="21"/>
              </w:rPr>
              <w:t>一般</w:t>
            </w:r>
          </w:p>
        </w:tc>
        <w:tc>
          <w:tcPr>
            <w:tcW w:w="3900" w:type="dxa"/>
            <w:vAlign w:val="top"/>
          </w:tcPr>
          <w:p w14:paraId="1F1F8755">
            <w:pPr>
              <w:pStyle w:val="8"/>
              <w:spacing w:before="147"/>
              <w:ind w:left="105"/>
              <w:jc w:val="both"/>
              <w:rPr>
                <w:b/>
                <w:color w:val="auto"/>
                <w:sz w:val="21"/>
              </w:rPr>
            </w:pPr>
            <w:r>
              <w:rPr>
                <w:b/>
                <w:color w:val="auto"/>
                <w:sz w:val="21"/>
              </w:rPr>
              <w:t>从重</w:t>
            </w:r>
          </w:p>
        </w:tc>
      </w:tr>
      <w:tr w14:paraId="4887C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67" w:type="dxa"/>
            <w:vMerge w:val="continue"/>
            <w:tcBorders>
              <w:top w:val="nil"/>
            </w:tcBorders>
            <w:vAlign w:val="top"/>
          </w:tcPr>
          <w:p w14:paraId="577DCFB4">
            <w:pPr>
              <w:jc w:val="both"/>
              <w:rPr>
                <w:color w:val="auto"/>
                <w:sz w:val="2"/>
                <w:szCs w:val="2"/>
              </w:rPr>
            </w:pPr>
          </w:p>
        </w:tc>
        <w:tc>
          <w:tcPr>
            <w:tcW w:w="1179" w:type="dxa"/>
            <w:vAlign w:val="top"/>
          </w:tcPr>
          <w:p w14:paraId="2451915A">
            <w:pPr>
              <w:pStyle w:val="8"/>
              <w:jc w:val="both"/>
              <w:rPr>
                <w:rFonts w:ascii="Times New Roman"/>
                <w:color w:val="auto"/>
                <w:sz w:val="20"/>
              </w:rPr>
            </w:pPr>
          </w:p>
          <w:p w14:paraId="3C95609B">
            <w:pPr>
              <w:pStyle w:val="8"/>
              <w:spacing w:before="5"/>
              <w:jc w:val="both"/>
              <w:rPr>
                <w:rFonts w:ascii="Times New Roman"/>
                <w:color w:val="auto"/>
                <w:sz w:val="22"/>
              </w:rPr>
            </w:pPr>
          </w:p>
          <w:p w14:paraId="2C744770">
            <w:pPr>
              <w:pStyle w:val="8"/>
              <w:ind w:left="145" w:right="139"/>
              <w:jc w:val="both"/>
              <w:rPr>
                <w:b/>
                <w:color w:val="auto"/>
                <w:sz w:val="21"/>
              </w:rPr>
            </w:pPr>
            <w:r>
              <w:rPr>
                <w:b/>
                <w:color w:val="auto"/>
                <w:sz w:val="21"/>
              </w:rPr>
              <w:t>裁量情节</w:t>
            </w:r>
          </w:p>
        </w:tc>
        <w:tc>
          <w:tcPr>
            <w:tcW w:w="2715" w:type="dxa"/>
            <w:vAlign w:val="top"/>
          </w:tcPr>
          <w:p w14:paraId="563FED48">
            <w:pPr>
              <w:pStyle w:val="8"/>
              <w:jc w:val="both"/>
              <w:rPr>
                <w:rFonts w:ascii="Times New Roman"/>
                <w:color w:val="auto"/>
                <w:sz w:val="20"/>
              </w:rPr>
            </w:pPr>
          </w:p>
          <w:p w14:paraId="245004DD">
            <w:pPr>
              <w:pStyle w:val="8"/>
              <w:spacing w:before="124" w:line="242" w:lineRule="auto"/>
              <w:ind w:left="107" w:right="98"/>
              <w:jc w:val="both"/>
              <w:rPr>
                <w:color w:val="auto"/>
                <w:sz w:val="21"/>
              </w:rPr>
            </w:pPr>
            <w:r>
              <w:rPr>
                <w:color w:val="auto"/>
                <w:sz w:val="21"/>
              </w:rPr>
              <w:t>符合裁量规定减轻行政处罚情形的。</w:t>
            </w:r>
          </w:p>
        </w:tc>
        <w:tc>
          <w:tcPr>
            <w:tcW w:w="2714" w:type="dxa"/>
            <w:vAlign w:val="top"/>
          </w:tcPr>
          <w:p w14:paraId="00A49B39">
            <w:pPr>
              <w:pStyle w:val="8"/>
              <w:jc w:val="both"/>
              <w:rPr>
                <w:rFonts w:ascii="Times New Roman"/>
                <w:color w:val="auto"/>
                <w:sz w:val="20"/>
              </w:rPr>
            </w:pPr>
          </w:p>
          <w:p w14:paraId="3D0F4626">
            <w:pPr>
              <w:pStyle w:val="8"/>
              <w:spacing w:before="124" w:line="242" w:lineRule="auto"/>
              <w:ind w:left="107" w:right="95"/>
              <w:jc w:val="both"/>
              <w:rPr>
                <w:color w:val="auto"/>
                <w:sz w:val="21"/>
              </w:rPr>
            </w:pPr>
            <w:r>
              <w:rPr>
                <w:color w:val="auto"/>
                <w:sz w:val="21"/>
              </w:rPr>
              <w:t>符合裁量规定从轻行政处罚情形的。</w:t>
            </w:r>
          </w:p>
        </w:tc>
        <w:tc>
          <w:tcPr>
            <w:tcW w:w="2717" w:type="dxa"/>
            <w:vAlign w:val="top"/>
          </w:tcPr>
          <w:p w14:paraId="2B3F851C">
            <w:pPr>
              <w:pStyle w:val="8"/>
              <w:jc w:val="both"/>
              <w:rPr>
                <w:rFonts w:ascii="Times New Roman"/>
                <w:color w:val="auto"/>
                <w:sz w:val="20"/>
              </w:rPr>
            </w:pPr>
          </w:p>
          <w:p w14:paraId="29FE096C">
            <w:pPr>
              <w:pStyle w:val="8"/>
              <w:spacing w:before="124" w:line="242" w:lineRule="auto"/>
              <w:ind w:left="107" w:right="98"/>
              <w:jc w:val="both"/>
              <w:rPr>
                <w:color w:val="auto"/>
                <w:sz w:val="21"/>
              </w:rPr>
            </w:pPr>
            <w:r>
              <w:rPr>
                <w:color w:val="auto"/>
                <w:sz w:val="21"/>
              </w:rPr>
              <w:t>符合裁量规定一般行政处罚情形的。</w:t>
            </w:r>
          </w:p>
        </w:tc>
        <w:tc>
          <w:tcPr>
            <w:tcW w:w="3900" w:type="dxa"/>
            <w:vAlign w:val="top"/>
          </w:tcPr>
          <w:p w14:paraId="56973109">
            <w:pPr>
              <w:pStyle w:val="8"/>
              <w:jc w:val="both"/>
              <w:rPr>
                <w:rFonts w:ascii="Times New Roman"/>
                <w:color w:val="auto"/>
                <w:sz w:val="20"/>
              </w:rPr>
            </w:pPr>
          </w:p>
          <w:p w14:paraId="05DAC813">
            <w:pPr>
              <w:pStyle w:val="8"/>
              <w:spacing w:before="5"/>
              <w:jc w:val="both"/>
              <w:rPr>
                <w:rFonts w:ascii="Times New Roman"/>
                <w:color w:val="auto"/>
                <w:sz w:val="22"/>
              </w:rPr>
            </w:pPr>
          </w:p>
          <w:p w14:paraId="06F8F218">
            <w:pPr>
              <w:pStyle w:val="8"/>
              <w:ind w:left="105"/>
              <w:jc w:val="both"/>
              <w:rPr>
                <w:color w:val="auto"/>
                <w:sz w:val="21"/>
              </w:rPr>
            </w:pPr>
            <w:r>
              <w:rPr>
                <w:color w:val="auto"/>
                <w:sz w:val="21"/>
              </w:rPr>
              <w:t>符合裁量规定从重行政处罚情形的。</w:t>
            </w:r>
          </w:p>
        </w:tc>
      </w:tr>
      <w:tr w14:paraId="2CB63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3" w:hRule="atLeast"/>
        </w:trPr>
        <w:tc>
          <w:tcPr>
            <w:tcW w:w="567" w:type="dxa"/>
            <w:vMerge w:val="continue"/>
            <w:tcBorders>
              <w:top w:val="nil"/>
            </w:tcBorders>
            <w:vAlign w:val="top"/>
          </w:tcPr>
          <w:p w14:paraId="0EF42CD2">
            <w:pPr>
              <w:jc w:val="both"/>
              <w:rPr>
                <w:color w:val="auto"/>
                <w:sz w:val="2"/>
                <w:szCs w:val="2"/>
              </w:rPr>
            </w:pPr>
          </w:p>
        </w:tc>
        <w:tc>
          <w:tcPr>
            <w:tcW w:w="1179" w:type="dxa"/>
            <w:vAlign w:val="top"/>
          </w:tcPr>
          <w:p w14:paraId="2B9D22B1">
            <w:pPr>
              <w:pStyle w:val="8"/>
              <w:jc w:val="both"/>
              <w:rPr>
                <w:rFonts w:ascii="Times New Roman"/>
                <w:color w:val="auto"/>
                <w:sz w:val="20"/>
              </w:rPr>
            </w:pPr>
          </w:p>
          <w:p w14:paraId="79DA4A18">
            <w:pPr>
              <w:pStyle w:val="8"/>
              <w:jc w:val="both"/>
              <w:rPr>
                <w:rFonts w:ascii="Times New Roman"/>
                <w:color w:val="auto"/>
                <w:sz w:val="20"/>
              </w:rPr>
            </w:pPr>
          </w:p>
          <w:p w14:paraId="1731E7AE">
            <w:pPr>
              <w:pStyle w:val="8"/>
              <w:jc w:val="both"/>
              <w:rPr>
                <w:rFonts w:ascii="Times New Roman"/>
                <w:color w:val="auto"/>
                <w:sz w:val="20"/>
              </w:rPr>
            </w:pPr>
          </w:p>
          <w:p w14:paraId="581C9AB4">
            <w:pPr>
              <w:pStyle w:val="8"/>
              <w:spacing w:before="4"/>
              <w:jc w:val="both"/>
              <w:rPr>
                <w:rFonts w:ascii="Times New Roman"/>
                <w:color w:val="auto"/>
                <w:sz w:val="24"/>
              </w:rPr>
            </w:pPr>
          </w:p>
          <w:p w14:paraId="7364DF2C">
            <w:pPr>
              <w:pStyle w:val="8"/>
              <w:ind w:left="145" w:right="139"/>
              <w:jc w:val="both"/>
              <w:rPr>
                <w:b/>
                <w:color w:val="auto"/>
                <w:sz w:val="21"/>
              </w:rPr>
            </w:pPr>
            <w:r>
              <w:rPr>
                <w:b/>
                <w:color w:val="auto"/>
                <w:sz w:val="21"/>
              </w:rPr>
              <w:t>裁量基准</w:t>
            </w:r>
          </w:p>
        </w:tc>
        <w:tc>
          <w:tcPr>
            <w:tcW w:w="2715" w:type="dxa"/>
            <w:vAlign w:val="top"/>
          </w:tcPr>
          <w:p w14:paraId="61FE685D">
            <w:pPr>
              <w:pStyle w:val="8"/>
              <w:jc w:val="both"/>
              <w:rPr>
                <w:rFonts w:ascii="Times New Roman"/>
                <w:color w:val="auto"/>
                <w:sz w:val="20"/>
              </w:rPr>
            </w:pPr>
          </w:p>
        </w:tc>
        <w:tc>
          <w:tcPr>
            <w:tcW w:w="2714" w:type="dxa"/>
            <w:vAlign w:val="top"/>
          </w:tcPr>
          <w:p w14:paraId="64CCEA29">
            <w:pPr>
              <w:pStyle w:val="8"/>
              <w:jc w:val="both"/>
              <w:rPr>
                <w:rFonts w:ascii="Times New Roman"/>
                <w:color w:val="auto"/>
                <w:sz w:val="20"/>
              </w:rPr>
            </w:pPr>
          </w:p>
          <w:p w14:paraId="7C9F3891">
            <w:pPr>
              <w:pStyle w:val="8"/>
              <w:jc w:val="both"/>
              <w:rPr>
                <w:rFonts w:ascii="Times New Roman"/>
                <w:color w:val="auto"/>
                <w:sz w:val="20"/>
              </w:rPr>
            </w:pPr>
          </w:p>
          <w:p w14:paraId="6905871C">
            <w:pPr>
              <w:pStyle w:val="8"/>
              <w:jc w:val="both"/>
              <w:rPr>
                <w:rFonts w:ascii="Times New Roman"/>
                <w:color w:val="auto"/>
                <w:sz w:val="20"/>
              </w:rPr>
            </w:pPr>
          </w:p>
          <w:p w14:paraId="3F036147">
            <w:pPr>
              <w:pStyle w:val="8"/>
              <w:spacing w:before="4"/>
              <w:jc w:val="both"/>
              <w:rPr>
                <w:rFonts w:ascii="Times New Roman"/>
                <w:color w:val="auto"/>
                <w:sz w:val="24"/>
              </w:rPr>
            </w:pPr>
          </w:p>
          <w:p w14:paraId="4B172F29">
            <w:pPr>
              <w:pStyle w:val="8"/>
              <w:ind w:left="107"/>
              <w:jc w:val="both"/>
              <w:rPr>
                <w:color w:val="auto"/>
                <w:sz w:val="21"/>
              </w:rPr>
            </w:pPr>
            <w:r>
              <w:rPr>
                <w:color w:val="auto"/>
                <w:sz w:val="21"/>
              </w:rPr>
              <w:t>处 600 元以下罚款。</w:t>
            </w:r>
          </w:p>
        </w:tc>
        <w:tc>
          <w:tcPr>
            <w:tcW w:w="2717" w:type="dxa"/>
            <w:vAlign w:val="top"/>
          </w:tcPr>
          <w:p w14:paraId="343F9BDC">
            <w:pPr>
              <w:pStyle w:val="8"/>
              <w:jc w:val="both"/>
              <w:rPr>
                <w:rFonts w:ascii="Times New Roman"/>
                <w:color w:val="auto"/>
                <w:sz w:val="20"/>
              </w:rPr>
            </w:pPr>
          </w:p>
          <w:p w14:paraId="53230A3E">
            <w:pPr>
              <w:pStyle w:val="8"/>
              <w:jc w:val="both"/>
              <w:rPr>
                <w:rFonts w:ascii="Times New Roman"/>
                <w:color w:val="auto"/>
                <w:sz w:val="20"/>
              </w:rPr>
            </w:pPr>
          </w:p>
          <w:p w14:paraId="55D29B1D">
            <w:pPr>
              <w:pStyle w:val="8"/>
              <w:jc w:val="both"/>
              <w:rPr>
                <w:rFonts w:ascii="Times New Roman"/>
                <w:color w:val="auto"/>
                <w:sz w:val="20"/>
              </w:rPr>
            </w:pPr>
          </w:p>
          <w:p w14:paraId="5D151DBA">
            <w:pPr>
              <w:pStyle w:val="8"/>
              <w:spacing w:before="144" w:line="244" w:lineRule="auto"/>
              <w:ind w:left="107" w:right="96"/>
              <w:jc w:val="both"/>
              <w:rPr>
                <w:color w:val="auto"/>
                <w:sz w:val="21"/>
              </w:rPr>
            </w:pPr>
            <w:r>
              <w:rPr>
                <w:color w:val="auto"/>
                <w:spacing w:val="-15"/>
                <w:sz w:val="21"/>
              </w:rPr>
              <w:t xml:space="preserve">处 </w:t>
            </w:r>
            <w:r>
              <w:rPr>
                <w:color w:val="auto"/>
                <w:sz w:val="21"/>
              </w:rPr>
              <w:t>600</w:t>
            </w:r>
            <w:r>
              <w:rPr>
                <w:color w:val="auto"/>
                <w:spacing w:val="-14"/>
                <w:sz w:val="21"/>
              </w:rPr>
              <w:t xml:space="preserve"> 元以上 </w:t>
            </w:r>
            <w:r>
              <w:rPr>
                <w:color w:val="auto"/>
                <w:sz w:val="21"/>
              </w:rPr>
              <w:t>1400</w:t>
            </w:r>
            <w:r>
              <w:rPr>
                <w:color w:val="auto"/>
                <w:spacing w:val="-12"/>
                <w:sz w:val="21"/>
              </w:rPr>
              <w:t xml:space="preserve"> 元以下</w:t>
            </w:r>
            <w:r>
              <w:rPr>
                <w:color w:val="auto"/>
                <w:sz w:val="21"/>
              </w:rPr>
              <w:t>罚款。</w:t>
            </w:r>
          </w:p>
        </w:tc>
        <w:tc>
          <w:tcPr>
            <w:tcW w:w="3900" w:type="dxa"/>
            <w:vAlign w:val="top"/>
          </w:tcPr>
          <w:p w14:paraId="50F0FD4C">
            <w:pPr>
              <w:pStyle w:val="8"/>
              <w:jc w:val="both"/>
              <w:rPr>
                <w:rFonts w:ascii="Times New Roman"/>
                <w:color w:val="auto"/>
                <w:sz w:val="20"/>
              </w:rPr>
            </w:pPr>
          </w:p>
          <w:p w14:paraId="3B3320C6">
            <w:pPr>
              <w:pStyle w:val="8"/>
              <w:jc w:val="both"/>
              <w:rPr>
                <w:rFonts w:ascii="Times New Roman"/>
                <w:color w:val="auto"/>
                <w:sz w:val="20"/>
              </w:rPr>
            </w:pPr>
          </w:p>
          <w:p w14:paraId="21F2DE78">
            <w:pPr>
              <w:pStyle w:val="8"/>
              <w:jc w:val="both"/>
              <w:rPr>
                <w:rFonts w:ascii="Times New Roman"/>
                <w:color w:val="auto"/>
                <w:sz w:val="20"/>
              </w:rPr>
            </w:pPr>
          </w:p>
          <w:p w14:paraId="7788F14C">
            <w:pPr>
              <w:pStyle w:val="8"/>
              <w:spacing w:before="4"/>
              <w:jc w:val="both"/>
              <w:rPr>
                <w:rFonts w:ascii="Times New Roman"/>
                <w:color w:val="auto"/>
                <w:sz w:val="24"/>
              </w:rPr>
            </w:pPr>
          </w:p>
          <w:p w14:paraId="08842E7B">
            <w:pPr>
              <w:pStyle w:val="8"/>
              <w:ind w:left="105"/>
              <w:jc w:val="both"/>
              <w:rPr>
                <w:color w:val="auto"/>
                <w:sz w:val="21"/>
              </w:rPr>
            </w:pPr>
            <w:r>
              <w:rPr>
                <w:color w:val="auto"/>
                <w:sz w:val="21"/>
              </w:rPr>
              <w:t>处 1400 元以上 2000 元以下罚款。</w:t>
            </w:r>
          </w:p>
        </w:tc>
      </w:tr>
    </w:tbl>
    <w:p w14:paraId="5EE61696">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18"/>
        <w:gridCol w:w="466"/>
        <w:gridCol w:w="2715"/>
        <w:gridCol w:w="2714"/>
        <w:gridCol w:w="2717"/>
        <w:gridCol w:w="3900"/>
      </w:tblGrid>
      <w:tr w14:paraId="22705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3" w:hRule="atLeast"/>
        </w:trPr>
        <w:tc>
          <w:tcPr>
            <w:tcW w:w="562" w:type="dxa"/>
            <w:vMerge w:val="restart"/>
            <w:vAlign w:val="top"/>
          </w:tcPr>
          <w:p w14:paraId="2BAAE510">
            <w:pPr>
              <w:pStyle w:val="8"/>
              <w:jc w:val="both"/>
              <w:rPr>
                <w:rFonts w:ascii="Times New Roman"/>
                <w:color w:val="auto"/>
                <w:sz w:val="20"/>
              </w:rPr>
            </w:pPr>
          </w:p>
          <w:p w14:paraId="5D15DF99">
            <w:pPr>
              <w:pStyle w:val="8"/>
              <w:jc w:val="both"/>
              <w:rPr>
                <w:rFonts w:ascii="Times New Roman"/>
                <w:color w:val="auto"/>
                <w:sz w:val="20"/>
              </w:rPr>
            </w:pPr>
          </w:p>
          <w:p w14:paraId="0896F5E8">
            <w:pPr>
              <w:pStyle w:val="8"/>
              <w:jc w:val="both"/>
              <w:rPr>
                <w:rFonts w:ascii="Times New Roman"/>
                <w:color w:val="auto"/>
                <w:sz w:val="20"/>
              </w:rPr>
            </w:pPr>
          </w:p>
          <w:p w14:paraId="16E2C5C0">
            <w:pPr>
              <w:pStyle w:val="8"/>
              <w:jc w:val="both"/>
              <w:rPr>
                <w:rFonts w:ascii="Times New Roman"/>
                <w:color w:val="auto"/>
                <w:sz w:val="20"/>
              </w:rPr>
            </w:pPr>
          </w:p>
          <w:p w14:paraId="3F086D17">
            <w:pPr>
              <w:pStyle w:val="8"/>
              <w:jc w:val="both"/>
              <w:rPr>
                <w:rFonts w:ascii="Times New Roman"/>
                <w:color w:val="auto"/>
                <w:sz w:val="20"/>
              </w:rPr>
            </w:pPr>
          </w:p>
          <w:p w14:paraId="59F0EBD6">
            <w:pPr>
              <w:pStyle w:val="8"/>
              <w:jc w:val="both"/>
              <w:rPr>
                <w:rFonts w:ascii="Times New Roman"/>
                <w:color w:val="auto"/>
                <w:sz w:val="20"/>
              </w:rPr>
            </w:pPr>
          </w:p>
          <w:p w14:paraId="402C9BAA">
            <w:pPr>
              <w:pStyle w:val="8"/>
              <w:jc w:val="both"/>
              <w:rPr>
                <w:rFonts w:ascii="Times New Roman"/>
                <w:color w:val="auto"/>
                <w:sz w:val="20"/>
              </w:rPr>
            </w:pPr>
          </w:p>
          <w:p w14:paraId="0006D6BD">
            <w:pPr>
              <w:pStyle w:val="8"/>
              <w:jc w:val="both"/>
              <w:rPr>
                <w:rFonts w:ascii="Times New Roman"/>
                <w:color w:val="auto"/>
                <w:sz w:val="20"/>
              </w:rPr>
            </w:pPr>
          </w:p>
          <w:p w14:paraId="10A8E59E">
            <w:pPr>
              <w:pStyle w:val="8"/>
              <w:jc w:val="both"/>
              <w:rPr>
                <w:rFonts w:ascii="Times New Roman"/>
                <w:color w:val="auto"/>
                <w:sz w:val="20"/>
              </w:rPr>
            </w:pPr>
          </w:p>
          <w:p w14:paraId="4545C49C">
            <w:pPr>
              <w:pStyle w:val="8"/>
              <w:jc w:val="both"/>
              <w:rPr>
                <w:rFonts w:ascii="Times New Roman"/>
                <w:color w:val="auto"/>
                <w:sz w:val="20"/>
              </w:rPr>
            </w:pPr>
          </w:p>
          <w:p w14:paraId="313BA66C">
            <w:pPr>
              <w:pStyle w:val="8"/>
              <w:jc w:val="both"/>
              <w:rPr>
                <w:rFonts w:ascii="Times New Roman"/>
                <w:color w:val="auto"/>
                <w:sz w:val="20"/>
              </w:rPr>
            </w:pPr>
          </w:p>
          <w:p w14:paraId="528FA6C9">
            <w:pPr>
              <w:pStyle w:val="8"/>
              <w:jc w:val="both"/>
              <w:rPr>
                <w:rFonts w:ascii="Times New Roman"/>
                <w:color w:val="auto"/>
                <w:sz w:val="20"/>
              </w:rPr>
            </w:pPr>
          </w:p>
          <w:p w14:paraId="425827C7">
            <w:pPr>
              <w:pStyle w:val="8"/>
              <w:jc w:val="both"/>
              <w:rPr>
                <w:rFonts w:ascii="Times New Roman"/>
                <w:color w:val="auto"/>
                <w:sz w:val="20"/>
              </w:rPr>
            </w:pPr>
          </w:p>
          <w:p w14:paraId="6EE63CBD">
            <w:pPr>
              <w:pStyle w:val="8"/>
              <w:jc w:val="both"/>
              <w:rPr>
                <w:rFonts w:ascii="Times New Roman"/>
                <w:color w:val="auto"/>
                <w:sz w:val="20"/>
              </w:rPr>
            </w:pPr>
          </w:p>
          <w:p w14:paraId="4726CE78">
            <w:pPr>
              <w:pStyle w:val="8"/>
              <w:jc w:val="both"/>
              <w:rPr>
                <w:rFonts w:ascii="Times New Roman"/>
                <w:color w:val="auto"/>
                <w:sz w:val="20"/>
              </w:rPr>
            </w:pPr>
          </w:p>
          <w:p w14:paraId="2AA9562B">
            <w:pPr>
              <w:pStyle w:val="8"/>
              <w:spacing w:before="10"/>
              <w:jc w:val="both"/>
              <w:rPr>
                <w:rFonts w:ascii="Times New Roman"/>
                <w:color w:val="auto"/>
                <w:sz w:val="20"/>
              </w:rPr>
            </w:pPr>
          </w:p>
          <w:p w14:paraId="1DE942B7">
            <w:pPr>
              <w:pStyle w:val="8"/>
              <w:ind w:left="9"/>
              <w:jc w:val="center"/>
              <w:rPr>
                <w:b/>
                <w:color w:val="auto"/>
                <w:sz w:val="21"/>
              </w:rPr>
            </w:pPr>
            <w:r>
              <w:rPr>
                <w:b w:val="0"/>
                <w:bCs/>
                <w:color w:val="auto"/>
                <w:w w:val="99"/>
                <w:sz w:val="21"/>
              </w:rPr>
              <w:t>5</w:t>
            </w:r>
          </w:p>
        </w:tc>
        <w:tc>
          <w:tcPr>
            <w:tcW w:w="1184" w:type="dxa"/>
            <w:gridSpan w:val="2"/>
            <w:vAlign w:val="top"/>
          </w:tcPr>
          <w:p w14:paraId="3109A56E">
            <w:pPr>
              <w:pStyle w:val="8"/>
              <w:jc w:val="both"/>
              <w:rPr>
                <w:rFonts w:ascii="Times New Roman"/>
                <w:color w:val="auto"/>
                <w:sz w:val="20"/>
              </w:rPr>
            </w:pPr>
          </w:p>
          <w:p w14:paraId="12386865">
            <w:pPr>
              <w:pStyle w:val="8"/>
              <w:jc w:val="both"/>
              <w:rPr>
                <w:rFonts w:ascii="Times New Roman"/>
                <w:color w:val="auto"/>
                <w:sz w:val="20"/>
              </w:rPr>
            </w:pPr>
          </w:p>
          <w:p w14:paraId="0CDE83F7">
            <w:pPr>
              <w:pStyle w:val="8"/>
              <w:spacing w:before="8"/>
              <w:jc w:val="both"/>
              <w:rPr>
                <w:rFonts w:ascii="Times New Roman"/>
                <w:color w:val="auto"/>
                <w:sz w:val="19"/>
              </w:rPr>
            </w:pPr>
          </w:p>
          <w:p w14:paraId="7FFB9A62">
            <w:pPr>
              <w:pStyle w:val="8"/>
              <w:spacing w:before="1"/>
              <w:ind w:left="170"/>
              <w:jc w:val="both"/>
              <w:rPr>
                <w:b/>
                <w:color w:val="auto"/>
                <w:sz w:val="21"/>
              </w:rPr>
            </w:pPr>
            <w:r>
              <w:rPr>
                <w:b/>
                <w:color w:val="auto"/>
                <w:sz w:val="21"/>
              </w:rPr>
              <w:t>违法行为</w:t>
            </w:r>
          </w:p>
        </w:tc>
        <w:tc>
          <w:tcPr>
            <w:tcW w:w="12046" w:type="dxa"/>
            <w:gridSpan w:val="4"/>
            <w:vAlign w:val="top"/>
          </w:tcPr>
          <w:p w14:paraId="50DF4F7F">
            <w:pPr>
              <w:pStyle w:val="8"/>
              <w:spacing w:before="51" w:line="255" w:lineRule="exact"/>
              <w:ind w:left="527"/>
              <w:jc w:val="both"/>
              <w:rPr>
                <w:color w:val="auto"/>
                <w:sz w:val="21"/>
              </w:rPr>
            </w:pPr>
            <w:r>
              <w:rPr>
                <w:color w:val="auto"/>
                <w:sz w:val="21"/>
              </w:rPr>
              <w:t>未依照《化妆品监督管理条例》规定公布化妆品功效宣称依据的摘要；</w:t>
            </w:r>
          </w:p>
          <w:p w14:paraId="49078D17">
            <w:pPr>
              <w:pStyle w:val="8"/>
              <w:spacing w:before="9" w:line="213" w:lineRule="auto"/>
              <w:ind w:left="527" w:right="3309"/>
              <w:jc w:val="both"/>
              <w:rPr>
                <w:color w:val="auto"/>
                <w:spacing w:val="-3"/>
                <w:sz w:val="21"/>
              </w:rPr>
            </w:pPr>
            <w:r>
              <w:rPr>
                <w:color w:val="auto"/>
                <w:spacing w:val="-3"/>
                <w:sz w:val="21"/>
              </w:rPr>
              <w:t>未依照《化妆品监督管理条例》规定建立并执行进货查验记录制度、产品销售记录制度；</w:t>
            </w:r>
          </w:p>
          <w:p w14:paraId="387E1B69">
            <w:pPr>
              <w:pStyle w:val="8"/>
              <w:spacing w:before="9" w:line="213" w:lineRule="auto"/>
              <w:ind w:left="527" w:right="3309"/>
              <w:jc w:val="both"/>
              <w:rPr>
                <w:color w:val="auto"/>
                <w:spacing w:val="-3"/>
                <w:sz w:val="21"/>
              </w:rPr>
            </w:pPr>
            <w:r>
              <w:rPr>
                <w:color w:val="auto"/>
                <w:spacing w:val="-3"/>
                <w:sz w:val="21"/>
              </w:rPr>
              <w:t>未依照《化妆品监督管理条例》规定对化妆品生产质量管理规范的执行情况进行自查；</w:t>
            </w:r>
          </w:p>
          <w:p w14:paraId="07E133AD">
            <w:pPr>
              <w:pStyle w:val="8"/>
              <w:spacing w:before="9" w:line="213" w:lineRule="auto"/>
              <w:ind w:left="527" w:right="3309"/>
              <w:jc w:val="both"/>
              <w:rPr>
                <w:color w:val="auto"/>
                <w:sz w:val="21"/>
              </w:rPr>
            </w:pPr>
            <w:r>
              <w:rPr>
                <w:color w:val="auto"/>
                <w:spacing w:val="-3"/>
                <w:sz w:val="21"/>
              </w:rPr>
              <w:t>未依照《化妆品监督管理条例》规定贮存、运输化妆品；</w:t>
            </w:r>
          </w:p>
          <w:p w14:paraId="6FDDAAE3">
            <w:pPr>
              <w:pStyle w:val="8"/>
              <w:spacing w:line="244" w:lineRule="auto"/>
              <w:ind w:left="107" w:right="99" w:firstLine="420"/>
              <w:jc w:val="both"/>
              <w:rPr>
                <w:color w:val="auto"/>
                <w:sz w:val="21"/>
              </w:rPr>
            </w:pPr>
            <w:r>
              <w:rPr>
                <w:color w:val="auto"/>
                <w:sz w:val="21"/>
              </w:rPr>
              <w:t>未依照《化妆品监督管理条例》规定监测、报告化妆品不良反应，或者对化妆品不良反应监测机构、负责药品监督管理的部门开展的化妆品不良反应调查不予配合。</w:t>
            </w:r>
          </w:p>
        </w:tc>
      </w:tr>
      <w:tr w14:paraId="63682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5" w:hRule="atLeast"/>
        </w:trPr>
        <w:tc>
          <w:tcPr>
            <w:tcW w:w="562" w:type="dxa"/>
            <w:vMerge w:val="continue"/>
            <w:tcBorders>
              <w:top w:val="nil"/>
            </w:tcBorders>
            <w:vAlign w:val="top"/>
          </w:tcPr>
          <w:p w14:paraId="75E13FAA">
            <w:pPr>
              <w:jc w:val="both"/>
              <w:rPr>
                <w:color w:val="auto"/>
                <w:sz w:val="2"/>
                <w:szCs w:val="2"/>
              </w:rPr>
            </w:pPr>
          </w:p>
        </w:tc>
        <w:tc>
          <w:tcPr>
            <w:tcW w:w="1184" w:type="dxa"/>
            <w:gridSpan w:val="2"/>
            <w:vAlign w:val="top"/>
          </w:tcPr>
          <w:p w14:paraId="5F7A563F">
            <w:pPr>
              <w:pStyle w:val="8"/>
              <w:jc w:val="both"/>
              <w:rPr>
                <w:rFonts w:ascii="Times New Roman"/>
                <w:color w:val="auto"/>
                <w:sz w:val="20"/>
              </w:rPr>
            </w:pPr>
          </w:p>
          <w:p w14:paraId="3A823E75">
            <w:pPr>
              <w:pStyle w:val="8"/>
              <w:spacing w:before="8"/>
              <w:jc w:val="both"/>
              <w:rPr>
                <w:rFonts w:ascii="Times New Roman"/>
                <w:color w:val="auto"/>
                <w:sz w:val="17"/>
              </w:rPr>
            </w:pPr>
          </w:p>
          <w:p w14:paraId="5C6891C4">
            <w:pPr>
              <w:pStyle w:val="8"/>
              <w:ind w:left="170"/>
              <w:jc w:val="both"/>
              <w:rPr>
                <w:b/>
                <w:color w:val="auto"/>
                <w:sz w:val="21"/>
              </w:rPr>
            </w:pPr>
            <w:r>
              <w:rPr>
                <w:b/>
                <w:color w:val="auto"/>
                <w:sz w:val="21"/>
              </w:rPr>
              <w:t>处罚依据</w:t>
            </w:r>
          </w:p>
        </w:tc>
        <w:tc>
          <w:tcPr>
            <w:tcW w:w="12046" w:type="dxa"/>
            <w:gridSpan w:val="4"/>
            <w:vAlign w:val="top"/>
          </w:tcPr>
          <w:p w14:paraId="0AF03A00">
            <w:pPr>
              <w:pStyle w:val="8"/>
              <w:spacing w:before="162"/>
              <w:ind w:left="527"/>
              <w:jc w:val="both"/>
              <w:rPr>
                <w:color w:val="auto"/>
                <w:sz w:val="21"/>
              </w:rPr>
            </w:pPr>
            <w:r>
              <w:rPr>
                <w:color w:val="auto"/>
                <w:spacing w:val="-4"/>
                <w:sz w:val="21"/>
              </w:rPr>
              <w:t xml:space="preserve">根据《化妆品监督管理条例》第六十二条规定，由负责药品监督管理的部门责令改正，给予警告，并处 </w:t>
            </w:r>
            <w:r>
              <w:rPr>
                <w:color w:val="auto"/>
                <w:sz w:val="21"/>
              </w:rPr>
              <w:t>1</w:t>
            </w:r>
            <w:r>
              <w:rPr>
                <w:color w:val="auto"/>
                <w:spacing w:val="-9"/>
                <w:sz w:val="21"/>
              </w:rPr>
              <w:t xml:space="preserve"> 万元以上 </w:t>
            </w:r>
            <w:r>
              <w:rPr>
                <w:color w:val="auto"/>
                <w:sz w:val="21"/>
              </w:rPr>
              <w:t>3</w:t>
            </w:r>
            <w:r>
              <w:rPr>
                <w:color w:val="auto"/>
                <w:spacing w:val="-9"/>
                <w:sz w:val="21"/>
              </w:rPr>
              <w:t xml:space="preserve"> 万元以</w:t>
            </w:r>
          </w:p>
          <w:p w14:paraId="1A5D597F">
            <w:pPr>
              <w:pStyle w:val="8"/>
              <w:spacing w:before="2"/>
              <w:ind w:left="107"/>
              <w:jc w:val="both"/>
              <w:rPr>
                <w:color w:val="auto"/>
                <w:sz w:val="21"/>
              </w:rPr>
            </w:pPr>
            <w:r>
              <w:rPr>
                <w:color w:val="auto"/>
                <w:spacing w:val="-4"/>
                <w:sz w:val="21"/>
              </w:rPr>
              <w:t xml:space="preserve">下罚款。情节严重的，责令停产停业，并处 </w:t>
            </w:r>
            <w:r>
              <w:rPr>
                <w:color w:val="auto"/>
                <w:sz w:val="21"/>
              </w:rPr>
              <w:t>3</w:t>
            </w:r>
            <w:r>
              <w:rPr>
                <w:color w:val="auto"/>
                <w:spacing w:val="-9"/>
                <w:sz w:val="21"/>
              </w:rPr>
              <w:t xml:space="preserve"> 万元以上 </w:t>
            </w:r>
            <w:r>
              <w:rPr>
                <w:color w:val="auto"/>
                <w:sz w:val="21"/>
              </w:rPr>
              <w:t>5</w:t>
            </w:r>
            <w:r>
              <w:rPr>
                <w:color w:val="auto"/>
                <w:spacing w:val="-6"/>
                <w:sz w:val="21"/>
              </w:rPr>
              <w:t xml:space="preserve"> 万元以下罚款，对违法单位的法定代表人或者主要负责人、直接负责的</w:t>
            </w:r>
          </w:p>
          <w:p w14:paraId="54768908">
            <w:pPr>
              <w:pStyle w:val="8"/>
              <w:spacing w:before="2"/>
              <w:ind w:left="107"/>
              <w:jc w:val="both"/>
              <w:rPr>
                <w:color w:val="auto"/>
                <w:sz w:val="21"/>
              </w:rPr>
            </w:pPr>
            <w:r>
              <w:rPr>
                <w:color w:val="auto"/>
                <w:sz w:val="21"/>
              </w:rPr>
              <w:t>主管人员和其他直接责任人员处 1 万元以上 3 万元以下罚款。</w:t>
            </w:r>
          </w:p>
        </w:tc>
      </w:tr>
      <w:tr w14:paraId="4ACBD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2" w:type="dxa"/>
            <w:vMerge w:val="continue"/>
            <w:tcBorders>
              <w:top w:val="nil"/>
            </w:tcBorders>
            <w:vAlign w:val="top"/>
          </w:tcPr>
          <w:p w14:paraId="507A0E75">
            <w:pPr>
              <w:jc w:val="both"/>
              <w:rPr>
                <w:color w:val="auto"/>
                <w:sz w:val="2"/>
                <w:szCs w:val="2"/>
              </w:rPr>
            </w:pPr>
          </w:p>
        </w:tc>
        <w:tc>
          <w:tcPr>
            <w:tcW w:w="1184" w:type="dxa"/>
            <w:gridSpan w:val="2"/>
            <w:vAlign w:val="top"/>
          </w:tcPr>
          <w:p w14:paraId="019F1657">
            <w:pPr>
              <w:pStyle w:val="8"/>
              <w:spacing w:before="150"/>
              <w:ind w:left="170"/>
              <w:jc w:val="both"/>
              <w:rPr>
                <w:b/>
                <w:color w:val="auto"/>
                <w:sz w:val="21"/>
              </w:rPr>
            </w:pPr>
            <w:r>
              <w:rPr>
                <w:b/>
                <w:color w:val="auto"/>
                <w:sz w:val="21"/>
              </w:rPr>
              <w:t>裁量等级</w:t>
            </w:r>
          </w:p>
        </w:tc>
        <w:tc>
          <w:tcPr>
            <w:tcW w:w="2715" w:type="dxa"/>
            <w:vAlign w:val="top"/>
          </w:tcPr>
          <w:p w14:paraId="430761C6">
            <w:pPr>
              <w:pStyle w:val="8"/>
              <w:spacing w:before="150"/>
              <w:ind w:left="107"/>
              <w:jc w:val="both"/>
              <w:rPr>
                <w:b/>
                <w:color w:val="auto"/>
                <w:sz w:val="21"/>
              </w:rPr>
            </w:pPr>
            <w:r>
              <w:rPr>
                <w:b/>
                <w:color w:val="auto"/>
                <w:sz w:val="21"/>
              </w:rPr>
              <w:t>减轻</w:t>
            </w:r>
          </w:p>
        </w:tc>
        <w:tc>
          <w:tcPr>
            <w:tcW w:w="2714" w:type="dxa"/>
            <w:vAlign w:val="top"/>
          </w:tcPr>
          <w:p w14:paraId="37FDBA89">
            <w:pPr>
              <w:pStyle w:val="8"/>
              <w:spacing w:before="150"/>
              <w:ind w:left="107"/>
              <w:jc w:val="both"/>
              <w:rPr>
                <w:b/>
                <w:color w:val="auto"/>
                <w:sz w:val="21"/>
              </w:rPr>
            </w:pPr>
            <w:r>
              <w:rPr>
                <w:b/>
                <w:color w:val="auto"/>
                <w:sz w:val="21"/>
              </w:rPr>
              <w:t>从轻</w:t>
            </w:r>
          </w:p>
        </w:tc>
        <w:tc>
          <w:tcPr>
            <w:tcW w:w="2717" w:type="dxa"/>
            <w:vAlign w:val="top"/>
          </w:tcPr>
          <w:p w14:paraId="35F45B1A">
            <w:pPr>
              <w:pStyle w:val="8"/>
              <w:spacing w:before="150"/>
              <w:ind w:left="107"/>
              <w:jc w:val="both"/>
              <w:rPr>
                <w:b/>
                <w:color w:val="auto"/>
                <w:sz w:val="21"/>
              </w:rPr>
            </w:pPr>
            <w:r>
              <w:rPr>
                <w:b/>
                <w:color w:val="auto"/>
                <w:sz w:val="21"/>
              </w:rPr>
              <w:t>一般</w:t>
            </w:r>
          </w:p>
        </w:tc>
        <w:tc>
          <w:tcPr>
            <w:tcW w:w="3900" w:type="dxa"/>
            <w:vAlign w:val="top"/>
          </w:tcPr>
          <w:p w14:paraId="180EBEBE">
            <w:pPr>
              <w:pStyle w:val="8"/>
              <w:spacing w:before="150"/>
              <w:ind w:left="105"/>
              <w:jc w:val="both"/>
              <w:rPr>
                <w:b/>
                <w:color w:val="auto"/>
                <w:sz w:val="21"/>
              </w:rPr>
            </w:pPr>
            <w:r>
              <w:rPr>
                <w:b/>
                <w:color w:val="auto"/>
                <w:sz w:val="21"/>
              </w:rPr>
              <w:t>从重</w:t>
            </w:r>
          </w:p>
        </w:tc>
      </w:tr>
      <w:tr w14:paraId="32920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62" w:type="dxa"/>
            <w:vMerge w:val="continue"/>
            <w:tcBorders>
              <w:top w:val="nil"/>
            </w:tcBorders>
            <w:vAlign w:val="top"/>
          </w:tcPr>
          <w:p w14:paraId="3A2FEADC">
            <w:pPr>
              <w:jc w:val="both"/>
              <w:rPr>
                <w:color w:val="auto"/>
                <w:sz w:val="2"/>
                <w:szCs w:val="2"/>
              </w:rPr>
            </w:pPr>
          </w:p>
        </w:tc>
        <w:tc>
          <w:tcPr>
            <w:tcW w:w="1184" w:type="dxa"/>
            <w:gridSpan w:val="2"/>
            <w:vAlign w:val="top"/>
          </w:tcPr>
          <w:p w14:paraId="79D9D6BF">
            <w:pPr>
              <w:pStyle w:val="8"/>
              <w:spacing w:before="3"/>
              <w:jc w:val="both"/>
              <w:rPr>
                <w:rFonts w:ascii="Times New Roman"/>
                <w:color w:val="auto"/>
                <w:sz w:val="20"/>
              </w:rPr>
            </w:pPr>
          </w:p>
          <w:p w14:paraId="4D58E05D">
            <w:pPr>
              <w:pStyle w:val="8"/>
              <w:spacing w:before="1"/>
              <w:ind w:left="170"/>
              <w:jc w:val="both"/>
              <w:rPr>
                <w:b/>
                <w:color w:val="auto"/>
                <w:sz w:val="21"/>
              </w:rPr>
            </w:pPr>
            <w:r>
              <w:rPr>
                <w:b/>
                <w:color w:val="auto"/>
                <w:sz w:val="21"/>
              </w:rPr>
              <w:t>裁量情节</w:t>
            </w:r>
          </w:p>
        </w:tc>
        <w:tc>
          <w:tcPr>
            <w:tcW w:w="2715" w:type="dxa"/>
            <w:vAlign w:val="top"/>
          </w:tcPr>
          <w:p w14:paraId="1921B21E">
            <w:pPr>
              <w:pStyle w:val="8"/>
              <w:spacing w:before="99" w:line="242" w:lineRule="auto"/>
              <w:ind w:left="107" w:right="98"/>
              <w:jc w:val="both"/>
              <w:rPr>
                <w:color w:val="auto"/>
                <w:sz w:val="21"/>
              </w:rPr>
            </w:pPr>
            <w:r>
              <w:rPr>
                <w:color w:val="auto"/>
                <w:sz w:val="21"/>
              </w:rPr>
              <w:t>符合裁量规定减轻行政处罚情形的。</w:t>
            </w:r>
          </w:p>
        </w:tc>
        <w:tc>
          <w:tcPr>
            <w:tcW w:w="2714" w:type="dxa"/>
            <w:vAlign w:val="top"/>
          </w:tcPr>
          <w:p w14:paraId="67859FCE">
            <w:pPr>
              <w:pStyle w:val="8"/>
              <w:spacing w:before="99" w:line="242" w:lineRule="auto"/>
              <w:ind w:left="107" w:right="95"/>
              <w:jc w:val="both"/>
              <w:rPr>
                <w:color w:val="auto"/>
                <w:sz w:val="21"/>
              </w:rPr>
            </w:pPr>
            <w:r>
              <w:rPr>
                <w:color w:val="auto"/>
                <w:sz w:val="21"/>
              </w:rPr>
              <w:t>符合裁量规定从轻行政处罚情形的。</w:t>
            </w:r>
          </w:p>
        </w:tc>
        <w:tc>
          <w:tcPr>
            <w:tcW w:w="2717" w:type="dxa"/>
            <w:vAlign w:val="top"/>
          </w:tcPr>
          <w:p w14:paraId="0C099125">
            <w:pPr>
              <w:pStyle w:val="8"/>
              <w:spacing w:before="99" w:line="242" w:lineRule="auto"/>
              <w:ind w:left="107" w:right="98"/>
              <w:jc w:val="both"/>
              <w:rPr>
                <w:color w:val="auto"/>
                <w:sz w:val="21"/>
              </w:rPr>
            </w:pPr>
            <w:r>
              <w:rPr>
                <w:color w:val="auto"/>
                <w:sz w:val="21"/>
              </w:rPr>
              <w:t>符合裁量规定一般行政处罚情形的。</w:t>
            </w:r>
          </w:p>
        </w:tc>
        <w:tc>
          <w:tcPr>
            <w:tcW w:w="3900" w:type="dxa"/>
            <w:vAlign w:val="top"/>
          </w:tcPr>
          <w:p w14:paraId="1B545824">
            <w:pPr>
              <w:pStyle w:val="8"/>
              <w:spacing w:before="3"/>
              <w:jc w:val="both"/>
              <w:rPr>
                <w:rFonts w:ascii="Times New Roman"/>
                <w:color w:val="auto"/>
                <w:sz w:val="20"/>
              </w:rPr>
            </w:pPr>
          </w:p>
          <w:p w14:paraId="11DE9255">
            <w:pPr>
              <w:pStyle w:val="8"/>
              <w:spacing w:before="1"/>
              <w:ind w:left="105"/>
              <w:jc w:val="both"/>
              <w:rPr>
                <w:color w:val="auto"/>
                <w:sz w:val="21"/>
              </w:rPr>
            </w:pPr>
            <w:r>
              <w:rPr>
                <w:color w:val="auto"/>
                <w:sz w:val="21"/>
              </w:rPr>
              <w:t>符合裁量规定从重行政处罚情形的。</w:t>
            </w:r>
          </w:p>
        </w:tc>
      </w:tr>
      <w:tr w14:paraId="215A5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3" w:hRule="atLeast"/>
        </w:trPr>
        <w:tc>
          <w:tcPr>
            <w:tcW w:w="562" w:type="dxa"/>
            <w:vMerge w:val="continue"/>
            <w:tcBorders>
              <w:top w:val="nil"/>
            </w:tcBorders>
            <w:vAlign w:val="top"/>
          </w:tcPr>
          <w:p w14:paraId="350EAE06">
            <w:pPr>
              <w:jc w:val="both"/>
              <w:rPr>
                <w:color w:val="auto"/>
                <w:sz w:val="2"/>
                <w:szCs w:val="2"/>
              </w:rPr>
            </w:pPr>
          </w:p>
        </w:tc>
        <w:tc>
          <w:tcPr>
            <w:tcW w:w="718" w:type="dxa"/>
            <w:vMerge w:val="restart"/>
            <w:vAlign w:val="top"/>
          </w:tcPr>
          <w:p w14:paraId="57A70E84">
            <w:pPr>
              <w:pStyle w:val="8"/>
              <w:jc w:val="both"/>
              <w:rPr>
                <w:rFonts w:ascii="Times New Roman"/>
                <w:color w:val="auto"/>
                <w:sz w:val="20"/>
              </w:rPr>
            </w:pPr>
          </w:p>
          <w:p w14:paraId="009953FC">
            <w:pPr>
              <w:pStyle w:val="8"/>
              <w:jc w:val="both"/>
              <w:rPr>
                <w:rFonts w:ascii="Times New Roman"/>
                <w:color w:val="auto"/>
                <w:sz w:val="20"/>
              </w:rPr>
            </w:pPr>
          </w:p>
          <w:p w14:paraId="18488D28">
            <w:pPr>
              <w:pStyle w:val="8"/>
              <w:jc w:val="both"/>
              <w:rPr>
                <w:rFonts w:ascii="Times New Roman"/>
                <w:color w:val="auto"/>
                <w:sz w:val="20"/>
              </w:rPr>
            </w:pPr>
          </w:p>
          <w:p w14:paraId="35973F05">
            <w:pPr>
              <w:pStyle w:val="8"/>
              <w:jc w:val="both"/>
              <w:rPr>
                <w:rFonts w:ascii="Times New Roman"/>
                <w:color w:val="auto"/>
                <w:sz w:val="20"/>
              </w:rPr>
            </w:pPr>
          </w:p>
          <w:p w14:paraId="3E76081F">
            <w:pPr>
              <w:pStyle w:val="8"/>
              <w:jc w:val="both"/>
              <w:rPr>
                <w:rFonts w:ascii="Times New Roman"/>
                <w:color w:val="auto"/>
                <w:sz w:val="20"/>
              </w:rPr>
            </w:pPr>
          </w:p>
          <w:p w14:paraId="626CDF58">
            <w:pPr>
              <w:pStyle w:val="8"/>
              <w:spacing w:before="8"/>
              <w:jc w:val="both"/>
              <w:rPr>
                <w:rFonts w:ascii="Times New Roman"/>
                <w:color w:val="auto"/>
                <w:sz w:val="29"/>
              </w:rPr>
            </w:pPr>
          </w:p>
          <w:p w14:paraId="18000141">
            <w:pPr>
              <w:pStyle w:val="8"/>
              <w:spacing w:line="242" w:lineRule="auto"/>
              <w:ind w:left="146" w:right="137"/>
              <w:jc w:val="both"/>
              <w:rPr>
                <w:b/>
                <w:color w:val="auto"/>
                <w:sz w:val="21"/>
              </w:rPr>
            </w:pPr>
            <w:r>
              <w:rPr>
                <w:b/>
                <w:color w:val="auto"/>
                <w:sz w:val="21"/>
              </w:rPr>
              <w:t>裁量基准</w:t>
            </w:r>
          </w:p>
        </w:tc>
        <w:tc>
          <w:tcPr>
            <w:tcW w:w="466" w:type="dxa"/>
            <w:vAlign w:val="top"/>
          </w:tcPr>
          <w:p w14:paraId="4FF9CCD1">
            <w:pPr>
              <w:pStyle w:val="8"/>
              <w:spacing w:before="9"/>
              <w:jc w:val="both"/>
              <w:rPr>
                <w:rFonts w:ascii="Times New Roman"/>
                <w:color w:val="auto"/>
                <w:sz w:val="16"/>
              </w:rPr>
            </w:pPr>
          </w:p>
          <w:p w14:paraId="5B3313BD">
            <w:pPr>
              <w:pStyle w:val="8"/>
              <w:spacing w:line="242" w:lineRule="auto"/>
              <w:ind w:left="126" w:right="116"/>
              <w:jc w:val="both"/>
              <w:rPr>
                <w:b/>
                <w:color w:val="auto"/>
                <w:sz w:val="21"/>
              </w:rPr>
            </w:pPr>
            <w:r>
              <w:rPr>
                <w:b/>
                <w:color w:val="auto"/>
                <w:sz w:val="21"/>
              </w:rPr>
              <w:t>一般情形</w:t>
            </w:r>
          </w:p>
        </w:tc>
        <w:tc>
          <w:tcPr>
            <w:tcW w:w="2715" w:type="dxa"/>
            <w:vAlign w:val="top"/>
          </w:tcPr>
          <w:p w14:paraId="2799A02D">
            <w:pPr>
              <w:pStyle w:val="8"/>
              <w:jc w:val="both"/>
              <w:rPr>
                <w:rFonts w:ascii="Times New Roman"/>
                <w:color w:val="auto"/>
                <w:sz w:val="20"/>
              </w:rPr>
            </w:pPr>
          </w:p>
          <w:p w14:paraId="5A5E2144">
            <w:pPr>
              <w:pStyle w:val="8"/>
              <w:spacing w:before="4"/>
              <w:jc w:val="both"/>
              <w:rPr>
                <w:rFonts w:ascii="Times New Roman"/>
                <w:color w:val="auto"/>
                <w:sz w:val="20"/>
              </w:rPr>
            </w:pPr>
          </w:p>
          <w:p w14:paraId="33C55B8D">
            <w:pPr>
              <w:pStyle w:val="8"/>
              <w:spacing w:line="244" w:lineRule="auto"/>
              <w:ind w:left="107" w:right="101"/>
              <w:jc w:val="both"/>
              <w:rPr>
                <w:color w:val="auto"/>
                <w:sz w:val="21"/>
              </w:rPr>
            </w:pPr>
            <w:r>
              <w:rPr>
                <w:color w:val="auto"/>
                <w:spacing w:val="-28"/>
                <w:sz w:val="21"/>
              </w:rPr>
              <w:t xml:space="preserve">处 </w:t>
            </w:r>
            <w:r>
              <w:rPr>
                <w:color w:val="auto"/>
                <w:sz w:val="21"/>
              </w:rPr>
              <w:t>0.1</w:t>
            </w:r>
            <w:r>
              <w:rPr>
                <w:color w:val="auto"/>
                <w:spacing w:val="-21"/>
                <w:sz w:val="21"/>
              </w:rPr>
              <w:t xml:space="preserve"> 万元以上 </w:t>
            </w:r>
            <w:r>
              <w:rPr>
                <w:color w:val="auto"/>
                <w:sz w:val="21"/>
              </w:rPr>
              <w:t>1</w:t>
            </w:r>
            <w:r>
              <w:rPr>
                <w:color w:val="auto"/>
                <w:spacing w:val="-18"/>
                <w:sz w:val="21"/>
              </w:rPr>
              <w:t xml:space="preserve"> 万元以下</w:t>
            </w:r>
            <w:r>
              <w:rPr>
                <w:color w:val="auto"/>
                <w:sz w:val="21"/>
              </w:rPr>
              <w:t>罚款。</w:t>
            </w:r>
          </w:p>
        </w:tc>
        <w:tc>
          <w:tcPr>
            <w:tcW w:w="2714" w:type="dxa"/>
            <w:vAlign w:val="top"/>
          </w:tcPr>
          <w:p w14:paraId="03EDD809">
            <w:pPr>
              <w:pStyle w:val="8"/>
              <w:jc w:val="both"/>
              <w:rPr>
                <w:rFonts w:ascii="Times New Roman"/>
                <w:color w:val="auto"/>
                <w:sz w:val="20"/>
              </w:rPr>
            </w:pPr>
          </w:p>
          <w:p w14:paraId="282B3F64">
            <w:pPr>
              <w:pStyle w:val="8"/>
              <w:spacing w:before="4"/>
              <w:jc w:val="both"/>
              <w:rPr>
                <w:rFonts w:ascii="Times New Roman"/>
                <w:color w:val="auto"/>
                <w:sz w:val="20"/>
              </w:rPr>
            </w:pPr>
          </w:p>
          <w:p w14:paraId="722487E3">
            <w:pPr>
              <w:pStyle w:val="8"/>
              <w:spacing w:line="244" w:lineRule="auto"/>
              <w:ind w:left="107" w:right="96"/>
              <w:jc w:val="both"/>
              <w:rPr>
                <w:color w:val="auto"/>
                <w:sz w:val="21"/>
              </w:rPr>
            </w:pPr>
            <w:r>
              <w:rPr>
                <w:color w:val="auto"/>
                <w:spacing w:val="-28"/>
                <w:sz w:val="21"/>
              </w:rPr>
              <w:t xml:space="preserve">处 </w:t>
            </w:r>
            <w:r>
              <w:rPr>
                <w:color w:val="auto"/>
                <w:sz w:val="21"/>
              </w:rPr>
              <w:t>1</w:t>
            </w:r>
            <w:r>
              <w:rPr>
                <w:color w:val="auto"/>
                <w:spacing w:val="-21"/>
                <w:sz w:val="21"/>
              </w:rPr>
              <w:t xml:space="preserve"> 万元以上 </w:t>
            </w:r>
            <w:r>
              <w:rPr>
                <w:color w:val="auto"/>
                <w:sz w:val="21"/>
              </w:rPr>
              <w:t>1.6</w:t>
            </w:r>
            <w:r>
              <w:rPr>
                <w:color w:val="auto"/>
                <w:spacing w:val="-16"/>
                <w:sz w:val="21"/>
              </w:rPr>
              <w:t xml:space="preserve"> 万元以下</w:t>
            </w:r>
            <w:r>
              <w:rPr>
                <w:color w:val="auto"/>
                <w:sz w:val="21"/>
              </w:rPr>
              <w:t>罚款。</w:t>
            </w:r>
          </w:p>
        </w:tc>
        <w:tc>
          <w:tcPr>
            <w:tcW w:w="2717" w:type="dxa"/>
            <w:vAlign w:val="top"/>
          </w:tcPr>
          <w:p w14:paraId="34870978">
            <w:pPr>
              <w:pStyle w:val="8"/>
              <w:jc w:val="both"/>
              <w:rPr>
                <w:rFonts w:ascii="Times New Roman"/>
                <w:color w:val="auto"/>
                <w:sz w:val="20"/>
              </w:rPr>
            </w:pPr>
          </w:p>
          <w:p w14:paraId="577C4CD1">
            <w:pPr>
              <w:pStyle w:val="8"/>
              <w:spacing w:before="4"/>
              <w:jc w:val="both"/>
              <w:rPr>
                <w:rFonts w:ascii="Times New Roman"/>
                <w:color w:val="auto"/>
                <w:sz w:val="20"/>
              </w:rPr>
            </w:pPr>
          </w:p>
          <w:p w14:paraId="2609DDFF">
            <w:pPr>
              <w:pStyle w:val="8"/>
              <w:spacing w:line="244" w:lineRule="auto"/>
              <w:ind w:left="107" w:right="96"/>
              <w:jc w:val="both"/>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9"/>
                <w:sz w:val="21"/>
              </w:rPr>
              <w:t xml:space="preserve"> 万元以</w:t>
            </w:r>
            <w:r>
              <w:rPr>
                <w:color w:val="auto"/>
                <w:spacing w:val="-1"/>
                <w:sz w:val="21"/>
              </w:rPr>
              <w:t>下罚款。</w:t>
            </w:r>
          </w:p>
        </w:tc>
        <w:tc>
          <w:tcPr>
            <w:tcW w:w="3900" w:type="dxa"/>
            <w:vAlign w:val="top"/>
          </w:tcPr>
          <w:p w14:paraId="4C5F0438">
            <w:pPr>
              <w:pStyle w:val="8"/>
              <w:jc w:val="both"/>
              <w:rPr>
                <w:rFonts w:ascii="Times New Roman"/>
                <w:color w:val="auto"/>
                <w:sz w:val="20"/>
              </w:rPr>
            </w:pPr>
          </w:p>
          <w:p w14:paraId="1CC286BB">
            <w:pPr>
              <w:pStyle w:val="8"/>
              <w:jc w:val="both"/>
              <w:rPr>
                <w:rFonts w:ascii="Times New Roman"/>
                <w:color w:val="auto"/>
                <w:sz w:val="20"/>
              </w:rPr>
            </w:pPr>
          </w:p>
          <w:p w14:paraId="3217BFC0">
            <w:pPr>
              <w:pStyle w:val="8"/>
              <w:spacing w:before="141"/>
              <w:ind w:left="105"/>
              <w:jc w:val="both"/>
              <w:rPr>
                <w:color w:val="auto"/>
                <w:sz w:val="21"/>
              </w:rPr>
            </w:pPr>
            <w:r>
              <w:rPr>
                <w:color w:val="auto"/>
                <w:sz w:val="21"/>
              </w:rPr>
              <w:t>处 2.4 万元以上 3 万元以下罚款。</w:t>
            </w:r>
          </w:p>
        </w:tc>
      </w:tr>
      <w:tr w14:paraId="4D072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2" w:hRule="atLeast"/>
        </w:trPr>
        <w:tc>
          <w:tcPr>
            <w:tcW w:w="562" w:type="dxa"/>
            <w:vMerge w:val="continue"/>
            <w:tcBorders>
              <w:top w:val="nil"/>
            </w:tcBorders>
            <w:vAlign w:val="top"/>
          </w:tcPr>
          <w:p w14:paraId="0ED4B3F3">
            <w:pPr>
              <w:jc w:val="both"/>
              <w:rPr>
                <w:color w:val="auto"/>
                <w:sz w:val="2"/>
                <w:szCs w:val="2"/>
              </w:rPr>
            </w:pPr>
          </w:p>
        </w:tc>
        <w:tc>
          <w:tcPr>
            <w:tcW w:w="718" w:type="dxa"/>
            <w:vMerge w:val="continue"/>
            <w:tcBorders>
              <w:top w:val="nil"/>
            </w:tcBorders>
            <w:vAlign w:val="top"/>
          </w:tcPr>
          <w:p w14:paraId="40B45E67">
            <w:pPr>
              <w:jc w:val="both"/>
              <w:rPr>
                <w:color w:val="auto"/>
                <w:sz w:val="2"/>
                <w:szCs w:val="2"/>
              </w:rPr>
            </w:pPr>
          </w:p>
        </w:tc>
        <w:tc>
          <w:tcPr>
            <w:tcW w:w="466" w:type="dxa"/>
            <w:vAlign w:val="top"/>
          </w:tcPr>
          <w:p w14:paraId="029C477F">
            <w:pPr>
              <w:pStyle w:val="8"/>
              <w:spacing w:before="8"/>
              <w:jc w:val="both"/>
              <w:rPr>
                <w:rFonts w:ascii="Times New Roman"/>
                <w:color w:val="auto"/>
                <w:sz w:val="29"/>
              </w:rPr>
            </w:pPr>
          </w:p>
          <w:p w14:paraId="383856D5">
            <w:pPr>
              <w:pStyle w:val="8"/>
              <w:spacing w:line="242" w:lineRule="auto"/>
              <w:ind w:left="126" w:right="116"/>
              <w:jc w:val="both"/>
              <w:rPr>
                <w:b/>
                <w:color w:val="auto"/>
                <w:sz w:val="21"/>
              </w:rPr>
            </w:pPr>
            <w:r>
              <w:rPr>
                <w:b/>
                <w:color w:val="auto"/>
                <w:sz w:val="21"/>
              </w:rPr>
              <w:t>情节严重的</w:t>
            </w:r>
          </w:p>
        </w:tc>
        <w:tc>
          <w:tcPr>
            <w:tcW w:w="2715" w:type="dxa"/>
            <w:vAlign w:val="top"/>
          </w:tcPr>
          <w:p w14:paraId="3F364326">
            <w:pPr>
              <w:pStyle w:val="8"/>
              <w:jc w:val="both"/>
              <w:rPr>
                <w:rFonts w:ascii="Times New Roman"/>
                <w:color w:val="auto"/>
                <w:sz w:val="20"/>
              </w:rPr>
            </w:pPr>
          </w:p>
        </w:tc>
        <w:tc>
          <w:tcPr>
            <w:tcW w:w="2714" w:type="dxa"/>
            <w:vAlign w:val="top"/>
          </w:tcPr>
          <w:p w14:paraId="11DA192C">
            <w:pPr>
              <w:pStyle w:val="8"/>
              <w:spacing w:before="2"/>
              <w:ind w:left="107"/>
              <w:jc w:val="both"/>
              <w:rPr>
                <w:color w:val="auto"/>
                <w:spacing w:val="-4"/>
                <w:sz w:val="21"/>
              </w:rPr>
            </w:pPr>
          </w:p>
          <w:p w14:paraId="11CAB215">
            <w:pPr>
              <w:pStyle w:val="8"/>
              <w:spacing w:before="2"/>
              <w:ind w:left="107"/>
              <w:jc w:val="both"/>
              <w:rPr>
                <w:color w:val="auto"/>
                <w:spacing w:val="-4"/>
                <w:sz w:val="21"/>
              </w:rPr>
            </w:pPr>
            <w:r>
              <w:rPr>
                <w:color w:val="auto"/>
                <w:spacing w:val="-4"/>
                <w:sz w:val="21"/>
              </w:rPr>
              <w:t>处 3 万元以上 3.6 万元以下罚款，对违法单位的法定代表人或者主要负责人、直接负责的主管人员和其他直接责任人员处 1 万元以上1.6 万元以下罚款。</w:t>
            </w:r>
          </w:p>
        </w:tc>
        <w:tc>
          <w:tcPr>
            <w:tcW w:w="2717" w:type="dxa"/>
            <w:vAlign w:val="top"/>
          </w:tcPr>
          <w:p w14:paraId="4BE12987">
            <w:pPr>
              <w:pStyle w:val="8"/>
              <w:spacing w:before="2"/>
              <w:ind w:left="107"/>
              <w:jc w:val="both"/>
              <w:rPr>
                <w:color w:val="auto"/>
                <w:spacing w:val="-4"/>
                <w:sz w:val="21"/>
              </w:rPr>
            </w:pPr>
          </w:p>
          <w:p w14:paraId="73076867">
            <w:pPr>
              <w:pStyle w:val="8"/>
              <w:spacing w:before="2"/>
              <w:ind w:left="107"/>
              <w:jc w:val="both"/>
              <w:rPr>
                <w:color w:val="auto"/>
                <w:spacing w:val="-4"/>
                <w:sz w:val="21"/>
              </w:rPr>
            </w:pPr>
            <w:r>
              <w:rPr>
                <w:color w:val="auto"/>
                <w:spacing w:val="-4"/>
                <w:sz w:val="21"/>
              </w:rPr>
              <w:t>处 3.6 万元以上 4.4 万元以下罚款，对违法单位的法定代表人或者主要负责人、直接负责的主管人员和其他直接责任人员处 1.6 万元以上 2.4 万元以下罚款。</w:t>
            </w:r>
          </w:p>
        </w:tc>
        <w:tc>
          <w:tcPr>
            <w:tcW w:w="3900" w:type="dxa"/>
            <w:vAlign w:val="top"/>
          </w:tcPr>
          <w:p w14:paraId="373A2062">
            <w:pPr>
              <w:pStyle w:val="8"/>
              <w:spacing w:before="2"/>
              <w:ind w:left="107"/>
              <w:jc w:val="both"/>
              <w:rPr>
                <w:color w:val="auto"/>
                <w:spacing w:val="-4"/>
                <w:sz w:val="21"/>
              </w:rPr>
            </w:pPr>
          </w:p>
          <w:p w14:paraId="0B0583C9">
            <w:pPr>
              <w:pStyle w:val="8"/>
              <w:spacing w:before="2"/>
              <w:ind w:left="107"/>
              <w:jc w:val="both"/>
              <w:rPr>
                <w:color w:val="auto"/>
                <w:spacing w:val="-4"/>
                <w:sz w:val="21"/>
              </w:rPr>
            </w:pPr>
          </w:p>
          <w:p w14:paraId="3853E229">
            <w:pPr>
              <w:pStyle w:val="8"/>
              <w:spacing w:before="2"/>
              <w:ind w:left="107"/>
              <w:jc w:val="both"/>
              <w:rPr>
                <w:color w:val="auto"/>
                <w:spacing w:val="-4"/>
                <w:sz w:val="21"/>
              </w:rPr>
            </w:pPr>
            <w:r>
              <w:rPr>
                <w:color w:val="auto"/>
                <w:spacing w:val="-4"/>
                <w:sz w:val="21"/>
              </w:rPr>
              <w:t>处 4.4 万元以上 5 万元以下罚款，对违法单位的法定代表人或者主要负责人、直接负责的主管人员和其他直接责任人员处2.4 万元以上 3 万元以下罚款。</w:t>
            </w:r>
          </w:p>
        </w:tc>
      </w:tr>
    </w:tbl>
    <w:p w14:paraId="395E2855">
      <w:pPr>
        <w:spacing w:after="0"/>
        <w:jc w:val="both"/>
        <w:rPr>
          <w:color w:val="auto"/>
          <w:sz w:val="21"/>
        </w:rPr>
        <w:sectPr>
          <w:pgSz w:w="16840" w:h="11910" w:orient="landscape"/>
          <w:pgMar w:top="1100" w:right="1400" w:bottom="1760" w:left="1400" w:header="0" w:footer="1572" w:gutter="0"/>
          <w:pgNumType w:fmt="numberInDash"/>
          <w:cols w:space="720" w:num="1"/>
        </w:sectPr>
      </w:pPr>
    </w:p>
    <w:p w14:paraId="06BC68FA">
      <w:pPr>
        <w:pStyle w:val="4"/>
        <w:spacing w:before="2"/>
        <w:jc w:val="both"/>
        <w:rPr>
          <w:rFonts w:ascii="Times New Roman"/>
          <w:color w:val="auto"/>
          <w:sz w:val="26"/>
        </w:rPr>
      </w:pPr>
    </w:p>
    <w:tbl>
      <w:tblPr>
        <w:tblStyle w:val="6"/>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183"/>
        <w:gridCol w:w="2715"/>
        <w:gridCol w:w="2714"/>
        <w:gridCol w:w="2717"/>
        <w:gridCol w:w="3900"/>
      </w:tblGrid>
      <w:tr w14:paraId="74BB2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restart"/>
            <w:vAlign w:val="top"/>
          </w:tcPr>
          <w:p w14:paraId="0CE0F953">
            <w:pPr>
              <w:pStyle w:val="8"/>
              <w:jc w:val="both"/>
              <w:rPr>
                <w:rFonts w:ascii="Times New Roman"/>
                <w:color w:val="auto"/>
                <w:sz w:val="20"/>
              </w:rPr>
            </w:pPr>
          </w:p>
          <w:p w14:paraId="07D50DE7">
            <w:pPr>
              <w:pStyle w:val="8"/>
              <w:jc w:val="both"/>
              <w:rPr>
                <w:rFonts w:ascii="Times New Roman"/>
                <w:color w:val="auto"/>
                <w:sz w:val="20"/>
              </w:rPr>
            </w:pPr>
          </w:p>
          <w:p w14:paraId="77152A54">
            <w:pPr>
              <w:pStyle w:val="8"/>
              <w:jc w:val="both"/>
              <w:rPr>
                <w:rFonts w:ascii="Times New Roman"/>
                <w:color w:val="auto"/>
                <w:sz w:val="20"/>
              </w:rPr>
            </w:pPr>
          </w:p>
          <w:p w14:paraId="2DAE74A1">
            <w:pPr>
              <w:pStyle w:val="8"/>
              <w:jc w:val="both"/>
              <w:rPr>
                <w:rFonts w:ascii="Times New Roman"/>
                <w:color w:val="auto"/>
                <w:sz w:val="20"/>
              </w:rPr>
            </w:pPr>
          </w:p>
          <w:p w14:paraId="46B58346">
            <w:pPr>
              <w:pStyle w:val="8"/>
              <w:jc w:val="both"/>
              <w:rPr>
                <w:rFonts w:ascii="Times New Roman"/>
                <w:color w:val="auto"/>
                <w:sz w:val="20"/>
              </w:rPr>
            </w:pPr>
          </w:p>
          <w:p w14:paraId="46552516">
            <w:pPr>
              <w:pStyle w:val="8"/>
              <w:jc w:val="both"/>
              <w:rPr>
                <w:rFonts w:ascii="Times New Roman"/>
                <w:color w:val="auto"/>
                <w:sz w:val="20"/>
              </w:rPr>
            </w:pPr>
          </w:p>
          <w:p w14:paraId="36E46BFF">
            <w:pPr>
              <w:pStyle w:val="8"/>
              <w:jc w:val="both"/>
              <w:rPr>
                <w:rFonts w:ascii="Times New Roman"/>
                <w:color w:val="auto"/>
                <w:sz w:val="20"/>
              </w:rPr>
            </w:pPr>
          </w:p>
          <w:p w14:paraId="169EA6A3">
            <w:pPr>
              <w:pStyle w:val="8"/>
              <w:jc w:val="both"/>
              <w:rPr>
                <w:rFonts w:ascii="Times New Roman"/>
                <w:color w:val="auto"/>
                <w:sz w:val="20"/>
              </w:rPr>
            </w:pPr>
          </w:p>
          <w:p w14:paraId="2CE93327">
            <w:pPr>
              <w:pStyle w:val="8"/>
              <w:jc w:val="both"/>
              <w:rPr>
                <w:rFonts w:ascii="Times New Roman"/>
                <w:color w:val="auto"/>
                <w:sz w:val="20"/>
              </w:rPr>
            </w:pPr>
          </w:p>
          <w:p w14:paraId="08CFD605">
            <w:pPr>
              <w:pStyle w:val="8"/>
              <w:jc w:val="both"/>
              <w:rPr>
                <w:rFonts w:ascii="Times New Roman"/>
                <w:color w:val="auto"/>
                <w:sz w:val="20"/>
              </w:rPr>
            </w:pPr>
          </w:p>
          <w:p w14:paraId="52AE699F">
            <w:pPr>
              <w:pStyle w:val="8"/>
              <w:jc w:val="both"/>
              <w:rPr>
                <w:rFonts w:ascii="Times New Roman"/>
                <w:color w:val="auto"/>
                <w:sz w:val="20"/>
              </w:rPr>
            </w:pPr>
          </w:p>
          <w:p w14:paraId="55E1C4FC">
            <w:pPr>
              <w:pStyle w:val="8"/>
              <w:jc w:val="both"/>
              <w:rPr>
                <w:rFonts w:ascii="Times New Roman"/>
                <w:color w:val="auto"/>
                <w:sz w:val="20"/>
              </w:rPr>
            </w:pPr>
          </w:p>
          <w:p w14:paraId="0B2B325B">
            <w:pPr>
              <w:pStyle w:val="8"/>
              <w:jc w:val="both"/>
              <w:rPr>
                <w:rFonts w:ascii="Times New Roman"/>
                <w:color w:val="auto"/>
                <w:sz w:val="20"/>
              </w:rPr>
            </w:pPr>
          </w:p>
          <w:p w14:paraId="2FC32A1E">
            <w:pPr>
              <w:pStyle w:val="8"/>
              <w:jc w:val="both"/>
              <w:rPr>
                <w:rFonts w:ascii="Times New Roman"/>
                <w:color w:val="auto"/>
                <w:sz w:val="20"/>
              </w:rPr>
            </w:pPr>
          </w:p>
          <w:p w14:paraId="3890A5D9">
            <w:pPr>
              <w:pStyle w:val="8"/>
              <w:jc w:val="both"/>
              <w:rPr>
                <w:rFonts w:ascii="Times New Roman"/>
                <w:color w:val="auto"/>
                <w:sz w:val="20"/>
              </w:rPr>
            </w:pPr>
          </w:p>
          <w:p w14:paraId="12715936">
            <w:pPr>
              <w:pStyle w:val="8"/>
              <w:jc w:val="both"/>
              <w:rPr>
                <w:rFonts w:ascii="Times New Roman"/>
                <w:color w:val="auto"/>
                <w:sz w:val="18"/>
              </w:rPr>
            </w:pPr>
          </w:p>
          <w:p w14:paraId="21C440E6">
            <w:pPr>
              <w:pStyle w:val="8"/>
              <w:ind w:left="9"/>
              <w:jc w:val="center"/>
              <w:rPr>
                <w:b/>
                <w:color w:val="auto"/>
                <w:sz w:val="21"/>
              </w:rPr>
            </w:pPr>
            <w:r>
              <w:rPr>
                <w:b w:val="0"/>
                <w:bCs/>
                <w:color w:val="auto"/>
                <w:w w:val="99"/>
                <w:sz w:val="21"/>
              </w:rPr>
              <w:t>6</w:t>
            </w:r>
          </w:p>
        </w:tc>
        <w:tc>
          <w:tcPr>
            <w:tcW w:w="1183" w:type="dxa"/>
            <w:vAlign w:val="top"/>
          </w:tcPr>
          <w:p w14:paraId="4FDF39A9">
            <w:pPr>
              <w:pStyle w:val="8"/>
              <w:spacing w:before="3"/>
              <w:jc w:val="both"/>
              <w:rPr>
                <w:rFonts w:ascii="Times New Roman"/>
                <w:color w:val="auto"/>
                <w:sz w:val="20"/>
              </w:rPr>
            </w:pPr>
          </w:p>
          <w:p w14:paraId="1CB84447">
            <w:pPr>
              <w:pStyle w:val="8"/>
              <w:spacing w:before="1"/>
              <w:ind w:left="150" w:right="138"/>
              <w:jc w:val="both"/>
              <w:rPr>
                <w:b/>
                <w:color w:val="auto"/>
                <w:sz w:val="21"/>
              </w:rPr>
            </w:pPr>
            <w:r>
              <w:rPr>
                <w:b/>
                <w:color w:val="auto"/>
                <w:sz w:val="21"/>
              </w:rPr>
              <w:t>违法行为</w:t>
            </w:r>
          </w:p>
        </w:tc>
        <w:tc>
          <w:tcPr>
            <w:tcW w:w="12046" w:type="dxa"/>
            <w:gridSpan w:val="4"/>
            <w:vAlign w:val="top"/>
          </w:tcPr>
          <w:p w14:paraId="312C661F">
            <w:pPr>
              <w:pStyle w:val="8"/>
              <w:spacing w:before="3"/>
              <w:jc w:val="both"/>
              <w:rPr>
                <w:rFonts w:ascii="Times New Roman"/>
                <w:color w:val="auto"/>
                <w:sz w:val="20"/>
              </w:rPr>
            </w:pPr>
          </w:p>
          <w:p w14:paraId="73967D1D">
            <w:pPr>
              <w:pStyle w:val="8"/>
              <w:spacing w:before="1"/>
              <w:ind w:left="528"/>
              <w:jc w:val="both"/>
              <w:rPr>
                <w:color w:val="auto"/>
                <w:sz w:val="21"/>
              </w:rPr>
            </w:pPr>
            <w:r>
              <w:rPr>
                <w:color w:val="auto"/>
                <w:sz w:val="21"/>
              </w:rPr>
              <w:t>在申请化妆品行政许可时提供虚假资料或者采取其他欺骗手段的</w:t>
            </w:r>
          </w:p>
        </w:tc>
      </w:tr>
      <w:tr w14:paraId="2A8BC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9" w:hRule="atLeast"/>
        </w:trPr>
        <w:tc>
          <w:tcPr>
            <w:tcW w:w="562" w:type="dxa"/>
            <w:vMerge w:val="continue"/>
            <w:tcBorders>
              <w:top w:val="nil"/>
            </w:tcBorders>
            <w:vAlign w:val="top"/>
          </w:tcPr>
          <w:p w14:paraId="58D5929D">
            <w:pPr>
              <w:jc w:val="both"/>
              <w:rPr>
                <w:color w:val="auto"/>
                <w:sz w:val="2"/>
                <w:szCs w:val="2"/>
              </w:rPr>
            </w:pPr>
          </w:p>
        </w:tc>
        <w:tc>
          <w:tcPr>
            <w:tcW w:w="1183" w:type="dxa"/>
            <w:vAlign w:val="top"/>
          </w:tcPr>
          <w:p w14:paraId="1562869A">
            <w:pPr>
              <w:pStyle w:val="8"/>
              <w:jc w:val="both"/>
              <w:rPr>
                <w:rFonts w:ascii="Times New Roman"/>
                <w:color w:val="auto"/>
                <w:sz w:val="20"/>
              </w:rPr>
            </w:pPr>
          </w:p>
          <w:p w14:paraId="47BFBA53">
            <w:pPr>
              <w:pStyle w:val="8"/>
              <w:jc w:val="both"/>
              <w:rPr>
                <w:rFonts w:ascii="Times New Roman"/>
                <w:color w:val="auto"/>
                <w:sz w:val="20"/>
              </w:rPr>
            </w:pPr>
          </w:p>
          <w:p w14:paraId="79DAF457">
            <w:pPr>
              <w:pStyle w:val="8"/>
              <w:spacing w:before="9"/>
              <w:jc w:val="both"/>
              <w:rPr>
                <w:rFonts w:ascii="Times New Roman"/>
                <w:color w:val="auto"/>
                <w:sz w:val="24"/>
              </w:rPr>
            </w:pPr>
          </w:p>
          <w:p w14:paraId="118E212D">
            <w:pPr>
              <w:pStyle w:val="8"/>
              <w:ind w:left="150" w:right="138"/>
              <w:jc w:val="both"/>
              <w:rPr>
                <w:b/>
                <w:color w:val="auto"/>
                <w:sz w:val="21"/>
              </w:rPr>
            </w:pPr>
            <w:r>
              <w:rPr>
                <w:b/>
                <w:color w:val="auto"/>
                <w:sz w:val="21"/>
              </w:rPr>
              <w:t>处罚依据</w:t>
            </w:r>
          </w:p>
        </w:tc>
        <w:tc>
          <w:tcPr>
            <w:tcW w:w="12046" w:type="dxa"/>
            <w:gridSpan w:val="4"/>
            <w:vAlign w:val="top"/>
          </w:tcPr>
          <w:p w14:paraId="5B3F8F78">
            <w:pPr>
              <w:pStyle w:val="8"/>
              <w:spacing w:before="0" w:line="242" w:lineRule="auto"/>
              <w:ind w:left="108" w:right="94" w:firstLine="420"/>
              <w:jc w:val="both"/>
              <w:rPr>
                <w:rFonts w:ascii="Times New Roman"/>
                <w:color w:val="auto"/>
                <w:sz w:val="17"/>
              </w:rPr>
            </w:pPr>
          </w:p>
          <w:p w14:paraId="0B5A4709">
            <w:pPr>
              <w:pStyle w:val="8"/>
              <w:spacing w:before="5" w:line="242" w:lineRule="auto"/>
              <w:ind w:left="108" w:right="95"/>
              <w:jc w:val="both"/>
              <w:rPr>
                <w:color w:val="auto"/>
                <w:sz w:val="21"/>
              </w:rPr>
            </w:pPr>
            <w:r>
              <w:rPr>
                <w:color w:val="auto"/>
                <w:spacing w:val="-12"/>
                <w:sz w:val="21"/>
              </w:rPr>
              <w:t>根据《化妆品监督管理条例》第六十四条第一款规定，不予行政许可，已经取得行政许可的，由作出行政许可决定的部门撤销行政许可，5 年内不受理其提出的化妆品相关许可申请，没收违法所得和已经生产、进口的化妆品；已经生产、进口的化妆品货值金额不足 1 万元的，并处 5 万元以上 15 万元以下罚款；货值金额 1 万元以上的，并处货值金额 15 倍以上 30 倍以下罚款；对违法单位的法定代表人或者主要负责人、直接负责的主管人员和其他直接责任人员处以其上一年度从本单位取得收入的 3 倍以上 5 倍以下罚款，终身禁止其从事化妆品生产经营活动。</w:t>
            </w:r>
          </w:p>
        </w:tc>
      </w:tr>
      <w:tr w14:paraId="7627A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2" w:type="dxa"/>
            <w:vMerge w:val="continue"/>
            <w:tcBorders>
              <w:top w:val="nil"/>
            </w:tcBorders>
            <w:vAlign w:val="top"/>
          </w:tcPr>
          <w:p w14:paraId="495E19FF">
            <w:pPr>
              <w:jc w:val="both"/>
              <w:rPr>
                <w:color w:val="auto"/>
                <w:sz w:val="2"/>
                <w:szCs w:val="2"/>
              </w:rPr>
            </w:pPr>
          </w:p>
        </w:tc>
        <w:tc>
          <w:tcPr>
            <w:tcW w:w="1183" w:type="dxa"/>
            <w:vAlign w:val="top"/>
          </w:tcPr>
          <w:p w14:paraId="1AA7BC3B">
            <w:pPr>
              <w:pStyle w:val="8"/>
              <w:spacing w:before="147"/>
              <w:ind w:left="150" w:right="138"/>
              <w:jc w:val="both"/>
              <w:rPr>
                <w:b/>
                <w:color w:val="auto"/>
                <w:sz w:val="21"/>
              </w:rPr>
            </w:pPr>
            <w:r>
              <w:rPr>
                <w:b/>
                <w:color w:val="auto"/>
                <w:sz w:val="21"/>
              </w:rPr>
              <w:t>裁量等级</w:t>
            </w:r>
          </w:p>
        </w:tc>
        <w:tc>
          <w:tcPr>
            <w:tcW w:w="2715" w:type="dxa"/>
            <w:vAlign w:val="top"/>
          </w:tcPr>
          <w:p w14:paraId="3B8F0A6D">
            <w:pPr>
              <w:pStyle w:val="8"/>
              <w:spacing w:before="147"/>
              <w:ind w:left="108"/>
              <w:jc w:val="both"/>
              <w:rPr>
                <w:b/>
                <w:color w:val="auto"/>
                <w:sz w:val="21"/>
              </w:rPr>
            </w:pPr>
            <w:r>
              <w:rPr>
                <w:b/>
                <w:color w:val="auto"/>
                <w:sz w:val="21"/>
              </w:rPr>
              <w:t>减轻</w:t>
            </w:r>
          </w:p>
        </w:tc>
        <w:tc>
          <w:tcPr>
            <w:tcW w:w="2714" w:type="dxa"/>
            <w:vAlign w:val="top"/>
          </w:tcPr>
          <w:p w14:paraId="62F1CF12">
            <w:pPr>
              <w:pStyle w:val="8"/>
              <w:spacing w:before="147"/>
              <w:ind w:left="108"/>
              <w:jc w:val="both"/>
              <w:rPr>
                <w:b/>
                <w:color w:val="auto"/>
                <w:sz w:val="21"/>
              </w:rPr>
            </w:pPr>
            <w:r>
              <w:rPr>
                <w:b/>
                <w:color w:val="auto"/>
                <w:sz w:val="21"/>
              </w:rPr>
              <w:t>从轻</w:t>
            </w:r>
          </w:p>
        </w:tc>
        <w:tc>
          <w:tcPr>
            <w:tcW w:w="2717" w:type="dxa"/>
            <w:vAlign w:val="top"/>
          </w:tcPr>
          <w:p w14:paraId="2D448C8F">
            <w:pPr>
              <w:pStyle w:val="8"/>
              <w:spacing w:before="147"/>
              <w:ind w:left="108"/>
              <w:jc w:val="both"/>
              <w:rPr>
                <w:b/>
                <w:color w:val="auto"/>
                <w:sz w:val="21"/>
              </w:rPr>
            </w:pPr>
            <w:r>
              <w:rPr>
                <w:b/>
                <w:color w:val="auto"/>
                <w:sz w:val="21"/>
              </w:rPr>
              <w:t>一般</w:t>
            </w:r>
          </w:p>
        </w:tc>
        <w:tc>
          <w:tcPr>
            <w:tcW w:w="3900" w:type="dxa"/>
            <w:vAlign w:val="top"/>
          </w:tcPr>
          <w:p w14:paraId="724E8019">
            <w:pPr>
              <w:pStyle w:val="8"/>
              <w:spacing w:before="147"/>
              <w:ind w:left="106"/>
              <w:jc w:val="both"/>
              <w:rPr>
                <w:b/>
                <w:color w:val="auto"/>
                <w:sz w:val="21"/>
              </w:rPr>
            </w:pPr>
            <w:r>
              <w:rPr>
                <w:b/>
                <w:color w:val="auto"/>
                <w:sz w:val="21"/>
              </w:rPr>
              <w:t>从重</w:t>
            </w:r>
          </w:p>
        </w:tc>
      </w:tr>
      <w:tr w14:paraId="772D3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54D3F8FA">
            <w:pPr>
              <w:jc w:val="both"/>
              <w:rPr>
                <w:color w:val="auto"/>
                <w:sz w:val="2"/>
                <w:szCs w:val="2"/>
              </w:rPr>
            </w:pPr>
          </w:p>
        </w:tc>
        <w:tc>
          <w:tcPr>
            <w:tcW w:w="1183" w:type="dxa"/>
            <w:vAlign w:val="top"/>
          </w:tcPr>
          <w:p w14:paraId="52816667">
            <w:pPr>
              <w:pStyle w:val="8"/>
              <w:spacing w:before="3"/>
              <w:jc w:val="both"/>
              <w:rPr>
                <w:rFonts w:ascii="Times New Roman"/>
                <w:color w:val="auto"/>
                <w:sz w:val="20"/>
              </w:rPr>
            </w:pPr>
          </w:p>
          <w:p w14:paraId="2A05E217">
            <w:pPr>
              <w:pStyle w:val="8"/>
              <w:spacing w:before="1"/>
              <w:ind w:left="150" w:right="138"/>
              <w:jc w:val="both"/>
              <w:rPr>
                <w:b/>
                <w:color w:val="auto"/>
                <w:sz w:val="21"/>
              </w:rPr>
            </w:pPr>
            <w:r>
              <w:rPr>
                <w:b/>
                <w:color w:val="auto"/>
                <w:sz w:val="21"/>
              </w:rPr>
              <w:t>裁量情节</w:t>
            </w:r>
          </w:p>
        </w:tc>
        <w:tc>
          <w:tcPr>
            <w:tcW w:w="2715" w:type="dxa"/>
            <w:vAlign w:val="top"/>
          </w:tcPr>
          <w:p w14:paraId="3AEA4E39">
            <w:pPr>
              <w:pStyle w:val="8"/>
              <w:spacing w:before="97" w:line="244" w:lineRule="auto"/>
              <w:ind w:left="108" w:right="97"/>
              <w:jc w:val="both"/>
              <w:rPr>
                <w:color w:val="auto"/>
                <w:sz w:val="21"/>
              </w:rPr>
            </w:pPr>
            <w:r>
              <w:rPr>
                <w:color w:val="auto"/>
                <w:sz w:val="21"/>
              </w:rPr>
              <w:t>符合裁量规定减轻行政处罚情形的。</w:t>
            </w:r>
          </w:p>
        </w:tc>
        <w:tc>
          <w:tcPr>
            <w:tcW w:w="2714" w:type="dxa"/>
            <w:vAlign w:val="top"/>
          </w:tcPr>
          <w:p w14:paraId="37298FD2">
            <w:pPr>
              <w:pStyle w:val="8"/>
              <w:spacing w:before="97" w:line="244" w:lineRule="auto"/>
              <w:ind w:left="108" w:right="94"/>
              <w:jc w:val="both"/>
              <w:rPr>
                <w:color w:val="auto"/>
                <w:sz w:val="21"/>
              </w:rPr>
            </w:pPr>
            <w:r>
              <w:rPr>
                <w:color w:val="auto"/>
                <w:sz w:val="21"/>
              </w:rPr>
              <w:t>符合裁量规定从轻行政处罚情形的。</w:t>
            </w:r>
          </w:p>
        </w:tc>
        <w:tc>
          <w:tcPr>
            <w:tcW w:w="2717" w:type="dxa"/>
            <w:vAlign w:val="top"/>
          </w:tcPr>
          <w:p w14:paraId="11AB8240">
            <w:pPr>
              <w:pStyle w:val="8"/>
              <w:spacing w:before="97" w:line="244" w:lineRule="auto"/>
              <w:ind w:left="108" w:right="97"/>
              <w:jc w:val="both"/>
              <w:rPr>
                <w:color w:val="auto"/>
                <w:sz w:val="21"/>
              </w:rPr>
            </w:pPr>
            <w:r>
              <w:rPr>
                <w:color w:val="auto"/>
                <w:sz w:val="21"/>
              </w:rPr>
              <w:t>符合裁量规定一般行政处罚情形的。</w:t>
            </w:r>
          </w:p>
        </w:tc>
        <w:tc>
          <w:tcPr>
            <w:tcW w:w="3900" w:type="dxa"/>
            <w:vAlign w:val="top"/>
          </w:tcPr>
          <w:p w14:paraId="1404AD3B">
            <w:pPr>
              <w:pStyle w:val="8"/>
              <w:spacing w:before="3"/>
              <w:jc w:val="both"/>
              <w:rPr>
                <w:rFonts w:ascii="Times New Roman"/>
                <w:color w:val="auto"/>
                <w:sz w:val="20"/>
              </w:rPr>
            </w:pPr>
          </w:p>
          <w:p w14:paraId="31C072E8">
            <w:pPr>
              <w:pStyle w:val="8"/>
              <w:spacing w:before="1"/>
              <w:ind w:left="106"/>
              <w:jc w:val="both"/>
              <w:rPr>
                <w:color w:val="auto"/>
                <w:sz w:val="21"/>
              </w:rPr>
            </w:pPr>
            <w:r>
              <w:rPr>
                <w:color w:val="auto"/>
                <w:sz w:val="21"/>
              </w:rPr>
              <w:t>符合裁量规定从重行政处罚情形的。</w:t>
            </w:r>
          </w:p>
        </w:tc>
      </w:tr>
      <w:tr w14:paraId="28E63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4" w:hRule="atLeast"/>
        </w:trPr>
        <w:tc>
          <w:tcPr>
            <w:tcW w:w="562" w:type="dxa"/>
            <w:vMerge w:val="continue"/>
            <w:tcBorders>
              <w:top w:val="nil"/>
            </w:tcBorders>
            <w:vAlign w:val="top"/>
          </w:tcPr>
          <w:p w14:paraId="252FAB46">
            <w:pPr>
              <w:jc w:val="both"/>
              <w:rPr>
                <w:color w:val="auto"/>
                <w:sz w:val="2"/>
                <w:szCs w:val="2"/>
              </w:rPr>
            </w:pPr>
          </w:p>
        </w:tc>
        <w:tc>
          <w:tcPr>
            <w:tcW w:w="1183" w:type="dxa"/>
            <w:vAlign w:val="top"/>
          </w:tcPr>
          <w:p w14:paraId="25B1ADEB">
            <w:pPr>
              <w:pStyle w:val="8"/>
              <w:jc w:val="both"/>
              <w:rPr>
                <w:rFonts w:ascii="Times New Roman"/>
                <w:color w:val="auto"/>
                <w:sz w:val="20"/>
              </w:rPr>
            </w:pPr>
          </w:p>
          <w:p w14:paraId="3CCC1F5D">
            <w:pPr>
              <w:pStyle w:val="8"/>
              <w:jc w:val="both"/>
              <w:rPr>
                <w:rFonts w:ascii="Times New Roman"/>
                <w:color w:val="auto"/>
                <w:sz w:val="20"/>
              </w:rPr>
            </w:pPr>
          </w:p>
          <w:p w14:paraId="4D8B2A72">
            <w:pPr>
              <w:pStyle w:val="8"/>
              <w:jc w:val="both"/>
              <w:rPr>
                <w:rFonts w:ascii="Times New Roman"/>
                <w:color w:val="auto"/>
                <w:sz w:val="20"/>
              </w:rPr>
            </w:pPr>
          </w:p>
          <w:p w14:paraId="094D4620">
            <w:pPr>
              <w:pStyle w:val="8"/>
              <w:jc w:val="both"/>
              <w:rPr>
                <w:rFonts w:ascii="Times New Roman"/>
                <w:color w:val="auto"/>
                <w:sz w:val="20"/>
              </w:rPr>
            </w:pPr>
          </w:p>
          <w:p w14:paraId="789B7795">
            <w:pPr>
              <w:pStyle w:val="8"/>
              <w:jc w:val="both"/>
              <w:rPr>
                <w:rFonts w:ascii="Times New Roman"/>
                <w:color w:val="auto"/>
                <w:sz w:val="20"/>
              </w:rPr>
            </w:pPr>
          </w:p>
          <w:p w14:paraId="1E6BD97B">
            <w:pPr>
              <w:pStyle w:val="8"/>
              <w:jc w:val="both"/>
              <w:rPr>
                <w:rFonts w:ascii="Times New Roman"/>
                <w:color w:val="auto"/>
                <w:sz w:val="20"/>
              </w:rPr>
            </w:pPr>
          </w:p>
          <w:p w14:paraId="02D52EF9">
            <w:pPr>
              <w:pStyle w:val="8"/>
              <w:jc w:val="both"/>
              <w:rPr>
                <w:rFonts w:ascii="Times New Roman"/>
                <w:color w:val="auto"/>
                <w:sz w:val="20"/>
              </w:rPr>
            </w:pPr>
          </w:p>
          <w:p w14:paraId="599B4D85">
            <w:pPr>
              <w:pStyle w:val="8"/>
              <w:spacing w:before="126"/>
              <w:ind w:left="150" w:right="138"/>
              <w:jc w:val="both"/>
              <w:rPr>
                <w:b/>
                <w:color w:val="auto"/>
                <w:sz w:val="21"/>
              </w:rPr>
            </w:pPr>
            <w:r>
              <w:rPr>
                <w:b/>
                <w:color w:val="auto"/>
                <w:sz w:val="21"/>
              </w:rPr>
              <w:t>裁量基准</w:t>
            </w:r>
          </w:p>
        </w:tc>
        <w:tc>
          <w:tcPr>
            <w:tcW w:w="2715" w:type="dxa"/>
            <w:vAlign w:val="top"/>
          </w:tcPr>
          <w:p w14:paraId="5FAF504F">
            <w:pPr>
              <w:pStyle w:val="8"/>
              <w:jc w:val="both"/>
              <w:rPr>
                <w:rFonts w:ascii="Times New Roman"/>
                <w:color w:val="auto"/>
                <w:sz w:val="20"/>
              </w:rPr>
            </w:pPr>
          </w:p>
        </w:tc>
        <w:tc>
          <w:tcPr>
            <w:tcW w:w="2714" w:type="dxa"/>
            <w:vAlign w:val="top"/>
          </w:tcPr>
          <w:p w14:paraId="746F2BEA">
            <w:pPr>
              <w:pStyle w:val="8"/>
              <w:spacing w:before="5" w:line="242" w:lineRule="auto"/>
              <w:ind w:left="108" w:right="95"/>
              <w:jc w:val="both"/>
              <w:rPr>
                <w:color w:val="auto"/>
                <w:spacing w:val="-12"/>
                <w:sz w:val="21"/>
              </w:rPr>
            </w:pPr>
          </w:p>
          <w:p w14:paraId="10B4331E">
            <w:pPr>
              <w:pStyle w:val="8"/>
              <w:spacing w:before="5" w:line="242" w:lineRule="auto"/>
              <w:ind w:left="108" w:right="95"/>
              <w:jc w:val="both"/>
              <w:rPr>
                <w:color w:val="auto"/>
                <w:spacing w:val="-12"/>
                <w:sz w:val="21"/>
              </w:rPr>
            </w:pPr>
            <w:r>
              <w:rPr>
                <w:color w:val="auto"/>
                <w:spacing w:val="-12"/>
                <w:sz w:val="21"/>
              </w:rPr>
              <w:t>货值金额不足 1 万元的，并处 5 万元以上 8 万元以下罚款；货值金额 1 万元以上的，并处货值金额 15 倍以上19.5 倍以下罚款；对违法单位的法定代表人或者主要负责人、直接负责的主管人员和其他直接责任人员处以其上一年度从本单位取得收入的 3 倍以上 3.6 倍以下罚款。</w:t>
            </w:r>
          </w:p>
        </w:tc>
        <w:tc>
          <w:tcPr>
            <w:tcW w:w="2717" w:type="dxa"/>
            <w:vAlign w:val="top"/>
          </w:tcPr>
          <w:p w14:paraId="4344624B">
            <w:pPr>
              <w:pStyle w:val="8"/>
              <w:spacing w:before="5" w:line="242" w:lineRule="auto"/>
              <w:ind w:left="108" w:right="95"/>
              <w:jc w:val="both"/>
              <w:rPr>
                <w:color w:val="auto"/>
                <w:spacing w:val="-12"/>
                <w:sz w:val="21"/>
              </w:rPr>
            </w:pPr>
          </w:p>
          <w:p w14:paraId="4BC6E4B6">
            <w:pPr>
              <w:pStyle w:val="8"/>
              <w:spacing w:before="5" w:line="242" w:lineRule="auto"/>
              <w:ind w:left="108" w:right="95"/>
              <w:jc w:val="both"/>
              <w:rPr>
                <w:color w:val="auto"/>
                <w:spacing w:val="-12"/>
                <w:sz w:val="21"/>
              </w:rPr>
            </w:pPr>
            <w:r>
              <w:rPr>
                <w:color w:val="auto"/>
                <w:spacing w:val="-12"/>
                <w:sz w:val="21"/>
              </w:rPr>
              <w:t>货值金额不足 1 万元的，并处 8 万元以上 12 万元以下罚款；货值金额 1 万元以上的，并处货值金额 19.5 倍以上 25.5 倍以下罚款；对违法单位的法定代表人或者主要负责人、直接负责的主管人员和其他直接责任人员处以其上一年度从本单位取得收入的 3.6 倍以上</w:t>
            </w:r>
          </w:p>
          <w:p w14:paraId="4687327A">
            <w:pPr>
              <w:pStyle w:val="8"/>
              <w:spacing w:before="5" w:line="242" w:lineRule="auto"/>
              <w:ind w:left="108" w:right="95"/>
              <w:jc w:val="both"/>
              <w:rPr>
                <w:color w:val="auto"/>
                <w:spacing w:val="-12"/>
                <w:sz w:val="21"/>
              </w:rPr>
            </w:pPr>
            <w:r>
              <w:rPr>
                <w:color w:val="auto"/>
                <w:spacing w:val="-12"/>
                <w:sz w:val="21"/>
              </w:rPr>
              <w:t>4.4 倍以下罚款。</w:t>
            </w:r>
          </w:p>
        </w:tc>
        <w:tc>
          <w:tcPr>
            <w:tcW w:w="3900" w:type="dxa"/>
            <w:vAlign w:val="top"/>
          </w:tcPr>
          <w:p w14:paraId="2A698293">
            <w:pPr>
              <w:pStyle w:val="8"/>
              <w:spacing w:before="5" w:line="242" w:lineRule="auto"/>
              <w:ind w:left="108" w:right="95"/>
              <w:jc w:val="both"/>
              <w:rPr>
                <w:color w:val="auto"/>
                <w:spacing w:val="-12"/>
                <w:sz w:val="21"/>
              </w:rPr>
            </w:pPr>
          </w:p>
          <w:p w14:paraId="3B5EEB1D">
            <w:pPr>
              <w:pStyle w:val="8"/>
              <w:spacing w:before="5" w:line="242" w:lineRule="auto"/>
              <w:ind w:right="95" w:firstLine="186" w:firstLineChars="100"/>
              <w:jc w:val="both"/>
              <w:rPr>
                <w:color w:val="auto"/>
                <w:spacing w:val="-12"/>
                <w:sz w:val="21"/>
              </w:rPr>
            </w:pPr>
            <w:r>
              <w:rPr>
                <w:color w:val="auto"/>
                <w:spacing w:val="-12"/>
                <w:sz w:val="21"/>
              </w:rPr>
              <w:t>货值金额不足 1 万元的，并处 12 万元以上 15 万元以下罚款；货值金额 1 万元以上的，并处货值金额 25.5 倍以上 30 倍以下罚款；对违法单位的法定代表人或者主要负责人、直接负责的主管人员和其他直接责任人员处以其上一年度从本单位取得收入的 4.4 倍以上 5 倍以下罚款。</w:t>
            </w:r>
          </w:p>
        </w:tc>
      </w:tr>
    </w:tbl>
    <w:p w14:paraId="0C89D895">
      <w:pPr>
        <w:spacing w:after="0" w:line="242" w:lineRule="auto"/>
        <w:jc w:val="both"/>
        <w:rPr>
          <w:color w:val="auto"/>
          <w:sz w:val="21"/>
        </w:rPr>
        <w:sectPr>
          <w:pgSz w:w="16840" w:h="11910" w:orient="landscape"/>
          <w:pgMar w:top="1100" w:right="1400" w:bottom="1760" w:left="1400" w:header="0" w:footer="1572" w:gutter="0"/>
          <w:pgNumType w:fmt="numberInDash"/>
          <w:cols w:space="720" w:num="1"/>
        </w:sectPr>
      </w:pPr>
    </w:p>
    <w:p w14:paraId="38013965">
      <w:pPr>
        <w:pStyle w:val="4"/>
        <w:spacing w:before="2"/>
        <w:jc w:val="both"/>
        <w:rPr>
          <w:rFonts w:ascii="Times New Roman"/>
          <w:color w:val="auto"/>
          <w:sz w:val="26"/>
        </w:rPr>
      </w:pPr>
    </w:p>
    <w:tbl>
      <w:tblPr>
        <w:tblStyle w:val="6"/>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183"/>
        <w:gridCol w:w="2715"/>
        <w:gridCol w:w="2714"/>
        <w:gridCol w:w="2717"/>
        <w:gridCol w:w="3900"/>
      </w:tblGrid>
      <w:tr w14:paraId="66923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562" w:type="dxa"/>
            <w:vMerge w:val="restart"/>
            <w:vAlign w:val="top"/>
          </w:tcPr>
          <w:p w14:paraId="0169B368">
            <w:pPr>
              <w:pStyle w:val="8"/>
              <w:jc w:val="both"/>
              <w:rPr>
                <w:rFonts w:ascii="Times New Roman"/>
                <w:color w:val="auto"/>
                <w:sz w:val="20"/>
              </w:rPr>
            </w:pPr>
          </w:p>
          <w:p w14:paraId="5B03E5CB">
            <w:pPr>
              <w:pStyle w:val="8"/>
              <w:jc w:val="both"/>
              <w:rPr>
                <w:rFonts w:ascii="Times New Roman"/>
                <w:color w:val="auto"/>
                <w:sz w:val="20"/>
              </w:rPr>
            </w:pPr>
          </w:p>
          <w:p w14:paraId="10A4C968">
            <w:pPr>
              <w:pStyle w:val="8"/>
              <w:jc w:val="both"/>
              <w:rPr>
                <w:rFonts w:ascii="Times New Roman"/>
                <w:color w:val="auto"/>
                <w:sz w:val="20"/>
              </w:rPr>
            </w:pPr>
          </w:p>
          <w:p w14:paraId="09176A5E">
            <w:pPr>
              <w:pStyle w:val="8"/>
              <w:jc w:val="both"/>
              <w:rPr>
                <w:rFonts w:ascii="Times New Roman"/>
                <w:color w:val="auto"/>
                <w:sz w:val="20"/>
              </w:rPr>
            </w:pPr>
          </w:p>
          <w:p w14:paraId="1EE8245D">
            <w:pPr>
              <w:pStyle w:val="8"/>
              <w:jc w:val="both"/>
              <w:rPr>
                <w:rFonts w:ascii="Times New Roman"/>
                <w:color w:val="auto"/>
                <w:sz w:val="20"/>
              </w:rPr>
            </w:pPr>
          </w:p>
          <w:p w14:paraId="50CEEFEF">
            <w:pPr>
              <w:pStyle w:val="8"/>
              <w:jc w:val="both"/>
              <w:rPr>
                <w:rFonts w:ascii="Times New Roman"/>
                <w:color w:val="auto"/>
                <w:sz w:val="20"/>
              </w:rPr>
            </w:pPr>
          </w:p>
          <w:p w14:paraId="7F769FD9">
            <w:pPr>
              <w:pStyle w:val="8"/>
              <w:jc w:val="both"/>
              <w:rPr>
                <w:rFonts w:ascii="Times New Roman"/>
                <w:color w:val="auto"/>
                <w:sz w:val="20"/>
              </w:rPr>
            </w:pPr>
          </w:p>
          <w:p w14:paraId="09B25D0D">
            <w:pPr>
              <w:pStyle w:val="8"/>
              <w:jc w:val="both"/>
              <w:rPr>
                <w:rFonts w:ascii="Times New Roman"/>
                <w:color w:val="auto"/>
                <w:sz w:val="20"/>
              </w:rPr>
            </w:pPr>
          </w:p>
          <w:p w14:paraId="3E16B39F">
            <w:pPr>
              <w:pStyle w:val="8"/>
              <w:jc w:val="both"/>
              <w:rPr>
                <w:rFonts w:ascii="Times New Roman"/>
                <w:color w:val="auto"/>
                <w:sz w:val="20"/>
              </w:rPr>
            </w:pPr>
          </w:p>
          <w:p w14:paraId="54D22201">
            <w:pPr>
              <w:pStyle w:val="8"/>
              <w:jc w:val="both"/>
              <w:rPr>
                <w:rFonts w:ascii="Times New Roman"/>
                <w:color w:val="auto"/>
                <w:sz w:val="20"/>
              </w:rPr>
            </w:pPr>
          </w:p>
          <w:p w14:paraId="5C02933D">
            <w:pPr>
              <w:pStyle w:val="8"/>
              <w:jc w:val="both"/>
              <w:rPr>
                <w:rFonts w:ascii="Times New Roman"/>
                <w:color w:val="auto"/>
                <w:sz w:val="20"/>
              </w:rPr>
            </w:pPr>
          </w:p>
          <w:p w14:paraId="49509FB3">
            <w:pPr>
              <w:pStyle w:val="8"/>
              <w:jc w:val="both"/>
              <w:rPr>
                <w:rFonts w:ascii="Times New Roman"/>
                <w:color w:val="auto"/>
                <w:sz w:val="20"/>
              </w:rPr>
            </w:pPr>
          </w:p>
          <w:p w14:paraId="34D9B153">
            <w:pPr>
              <w:pStyle w:val="8"/>
              <w:jc w:val="both"/>
              <w:rPr>
                <w:rFonts w:ascii="Times New Roman"/>
                <w:color w:val="auto"/>
                <w:sz w:val="20"/>
              </w:rPr>
            </w:pPr>
          </w:p>
          <w:p w14:paraId="050A97CC">
            <w:pPr>
              <w:pStyle w:val="8"/>
              <w:jc w:val="both"/>
              <w:rPr>
                <w:rFonts w:ascii="Times New Roman"/>
                <w:color w:val="auto"/>
                <w:sz w:val="20"/>
              </w:rPr>
            </w:pPr>
          </w:p>
          <w:p w14:paraId="17CA2505">
            <w:pPr>
              <w:pStyle w:val="8"/>
              <w:jc w:val="both"/>
              <w:rPr>
                <w:rFonts w:ascii="Times New Roman"/>
                <w:color w:val="auto"/>
                <w:sz w:val="20"/>
              </w:rPr>
            </w:pPr>
          </w:p>
          <w:p w14:paraId="5120619A">
            <w:pPr>
              <w:pStyle w:val="8"/>
              <w:spacing w:before="178"/>
              <w:ind w:left="9"/>
              <w:jc w:val="center"/>
              <w:rPr>
                <w:b/>
                <w:color w:val="auto"/>
                <w:sz w:val="21"/>
              </w:rPr>
            </w:pPr>
            <w:r>
              <w:rPr>
                <w:b w:val="0"/>
                <w:bCs/>
                <w:color w:val="auto"/>
                <w:w w:val="99"/>
                <w:sz w:val="21"/>
              </w:rPr>
              <w:t>7</w:t>
            </w:r>
          </w:p>
        </w:tc>
        <w:tc>
          <w:tcPr>
            <w:tcW w:w="1183" w:type="dxa"/>
            <w:vAlign w:val="top"/>
          </w:tcPr>
          <w:p w14:paraId="4F5167CB">
            <w:pPr>
              <w:pStyle w:val="8"/>
              <w:spacing w:before="9"/>
              <w:jc w:val="both"/>
              <w:rPr>
                <w:rFonts w:ascii="Times New Roman"/>
                <w:color w:val="auto"/>
                <w:sz w:val="27"/>
              </w:rPr>
            </w:pPr>
          </w:p>
          <w:p w14:paraId="1DD928D6">
            <w:pPr>
              <w:pStyle w:val="8"/>
              <w:ind w:left="150" w:right="138"/>
              <w:jc w:val="both"/>
              <w:rPr>
                <w:b/>
                <w:color w:val="auto"/>
                <w:sz w:val="21"/>
              </w:rPr>
            </w:pPr>
            <w:r>
              <w:rPr>
                <w:b/>
                <w:color w:val="auto"/>
                <w:sz w:val="21"/>
              </w:rPr>
              <w:t>违法行为</w:t>
            </w:r>
          </w:p>
        </w:tc>
        <w:tc>
          <w:tcPr>
            <w:tcW w:w="12046" w:type="dxa"/>
            <w:gridSpan w:val="4"/>
            <w:vAlign w:val="top"/>
          </w:tcPr>
          <w:p w14:paraId="3071B092">
            <w:pPr>
              <w:pStyle w:val="8"/>
              <w:spacing w:before="9"/>
              <w:jc w:val="both"/>
              <w:rPr>
                <w:rFonts w:ascii="Times New Roman"/>
                <w:color w:val="auto"/>
                <w:sz w:val="27"/>
              </w:rPr>
            </w:pPr>
          </w:p>
          <w:p w14:paraId="4592F2BC">
            <w:pPr>
              <w:pStyle w:val="8"/>
              <w:ind w:left="528"/>
              <w:jc w:val="both"/>
              <w:rPr>
                <w:color w:val="auto"/>
                <w:sz w:val="21"/>
              </w:rPr>
            </w:pPr>
            <w:r>
              <w:rPr>
                <w:color w:val="auto"/>
                <w:sz w:val="21"/>
              </w:rPr>
              <w:t>伪造、变造、出租、出借或者转让化妆品许可证件的</w:t>
            </w:r>
          </w:p>
        </w:tc>
      </w:tr>
      <w:tr w14:paraId="3932D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trPr>
        <w:tc>
          <w:tcPr>
            <w:tcW w:w="562" w:type="dxa"/>
            <w:vMerge w:val="continue"/>
            <w:tcBorders>
              <w:top w:val="nil"/>
            </w:tcBorders>
            <w:vAlign w:val="top"/>
          </w:tcPr>
          <w:p w14:paraId="1C2CF35A">
            <w:pPr>
              <w:jc w:val="both"/>
              <w:rPr>
                <w:color w:val="auto"/>
                <w:sz w:val="2"/>
                <w:szCs w:val="2"/>
              </w:rPr>
            </w:pPr>
          </w:p>
        </w:tc>
        <w:tc>
          <w:tcPr>
            <w:tcW w:w="1183" w:type="dxa"/>
            <w:vAlign w:val="top"/>
          </w:tcPr>
          <w:p w14:paraId="58A2973F">
            <w:pPr>
              <w:pStyle w:val="8"/>
              <w:jc w:val="both"/>
              <w:rPr>
                <w:rFonts w:ascii="Times New Roman"/>
                <w:color w:val="auto"/>
                <w:sz w:val="20"/>
              </w:rPr>
            </w:pPr>
          </w:p>
          <w:p w14:paraId="057CC805">
            <w:pPr>
              <w:pStyle w:val="8"/>
              <w:jc w:val="both"/>
              <w:rPr>
                <w:rFonts w:ascii="Times New Roman"/>
                <w:color w:val="auto"/>
                <w:sz w:val="20"/>
              </w:rPr>
            </w:pPr>
          </w:p>
          <w:p w14:paraId="02345942">
            <w:pPr>
              <w:pStyle w:val="8"/>
              <w:jc w:val="both"/>
              <w:rPr>
                <w:rFonts w:ascii="Times New Roman"/>
                <w:color w:val="auto"/>
                <w:sz w:val="20"/>
              </w:rPr>
            </w:pPr>
          </w:p>
          <w:p w14:paraId="762C031F">
            <w:pPr>
              <w:pStyle w:val="8"/>
              <w:spacing w:before="168"/>
              <w:ind w:left="150" w:right="138"/>
              <w:jc w:val="both"/>
              <w:rPr>
                <w:b/>
                <w:color w:val="auto"/>
                <w:sz w:val="21"/>
              </w:rPr>
            </w:pPr>
            <w:r>
              <w:rPr>
                <w:b/>
                <w:color w:val="auto"/>
                <w:sz w:val="21"/>
              </w:rPr>
              <w:t>处罚依据</w:t>
            </w:r>
          </w:p>
        </w:tc>
        <w:tc>
          <w:tcPr>
            <w:tcW w:w="12046" w:type="dxa"/>
            <w:gridSpan w:val="4"/>
            <w:vAlign w:val="top"/>
          </w:tcPr>
          <w:p w14:paraId="6BF8BB96">
            <w:pPr>
              <w:pStyle w:val="8"/>
              <w:jc w:val="both"/>
              <w:rPr>
                <w:rFonts w:ascii="Times New Roman"/>
                <w:color w:val="auto"/>
                <w:sz w:val="20"/>
              </w:rPr>
            </w:pPr>
          </w:p>
          <w:p w14:paraId="43D48E20">
            <w:pPr>
              <w:pStyle w:val="8"/>
              <w:jc w:val="both"/>
              <w:rPr>
                <w:rFonts w:ascii="Times New Roman"/>
                <w:color w:val="auto"/>
                <w:sz w:val="20"/>
              </w:rPr>
            </w:pPr>
          </w:p>
          <w:p w14:paraId="4F37F57A">
            <w:pPr>
              <w:pStyle w:val="8"/>
              <w:spacing w:before="126" w:line="242" w:lineRule="auto"/>
              <w:ind w:left="108" w:right="97" w:firstLine="420"/>
              <w:jc w:val="both"/>
              <w:rPr>
                <w:color w:val="auto"/>
                <w:sz w:val="21"/>
              </w:rPr>
            </w:pPr>
            <w:r>
              <w:rPr>
                <w:color w:val="auto"/>
                <w:spacing w:val="-1"/>
                <w:sz w:val="21"/>
              </w:rPr>
              <w:t>根据《化妆品监督管理条例》第六十四条第二款规定，由负责药品监督管理的部门或者原发证部门予以收缴或者吊销，没收</w:t>
            </w:r>
            <w:r>
              <w:rPr>
                <w:color w:val="auto"/>
                <w:spacing w:val="-8"/>
                <w:sz w:val="21"/>
              </w:rPr>
              <w:t xml:space="preserve">违法所得；违法所得不足 </w:t>
            </w:r>
            <w:r>
              <w:rPr>
                <w:color w:val="auto"/>
                <w:sz w:val="21"/>
              </w:rPr>
              <w:t>1</w:t>
            </w:r>
            <w:r>
              <w:rPr>
                <w:color w:val="auto"/>
                <w:spacing w:val="-15"/>
                <w:sz w:val="21"/>
              </w:rPr>
              <w:t xml:space="preserve"> 万元的，并处 </w:t>
            </w:r>
            <w:r>
              <w:rPr>
                <w:color w:val="auto"/>
                <w:sz w:val="21"/>
              </w:rPr>
              <w:t>5</w:t>
            </w:r>
            <w:r>
              <w:rPr>
                <w:color w:val="auto"/>
                <w:spacing w:val="-18"/>
                <w:sz w:val="21"/>
              </w:rPr>
              <w:t xml:space="preserve"> 万元以上 </w:t>
            </w:r>
            <w:r>
              <w:rPr>
                <w:color w:val="auto"/>
                <w:sz w:val="21"/>
              </w:rPr>
              <w:t>10</w:t>
            </w:r>
            <w:r>
              <w:rPr>
                <w:color w:val="auto"/>
                <w:spacing w:val="-13"/>
                <w:sz w:val="21"/>
              </w:rPr>
              <w:t xml:space="preserve"> 万元以下罚款；违法所得 </w:t>
            </w:r>
            <w:r>
              <w:rPr>
                <w:color w:val="auto"/>
                <w:sz w:val="21"/>
              </w:rPr>
              <w:t>1</w:t>
            </w:r>
            <w:r>
              <w:rPr>
                <w:color w:val="auto"/>
                <w:spacing w:val="-12"/>
                <w:sz w:val="21"/>
              </w:rPr>
              <w:t xml:space="preserve"> 万元以上的，并处违法所得 </w:t>
            </w:r>
            <w:r>
              <w:rPr>
                <w:color w:val="auto"/>
                <w:sz w:val="21"/>
              </w:rPr>
              <w:t>10</w:t>
            </w:r>
            <w:r>
              <w:rPr>
                <w:color w:val="auto"/>
                <w:spacing w:val="-22"/>
                <w:sz w:val="21"/>
              </w:rPr>
              <w:t xml:space="preserve"> 倍以上 </w:t>
            </w:r>
            <w:r>
              <w:rPr>
                <w:color w:val="auto"/>
                <w:sz w:val="21"/>
              </w:rPr>
              <w:t>20</w:t>
            </w:r>
            <w:r>
              <w:rPr>
                <w:color w:val="auto"/>
                <w:spacing w:val="-19"/>
                <w:sz w:val="21"/>
              </w:rPr>
              <w:t xml:space="preserve"> 倍以</w:t>
            </w:r>
            <w:r>
              <w:rPr>
                <w:color w:val="auto"/>
                <w:spacing w:val="-1"/>
                <w:sz w:val="21"/>
              </w:rPr>
              <w:t>下罚款。</w:t>
            </w:r>
          </w:p>
        </w:tc>
      </w:tr>
      <w:tr w14:paraId="6F4CE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continue"/>
            <w:tcBorders>
              <w:top w:val="nil"/>
            </w:tcBorders>
            <w:vAlign w:val="top"/>
          </w:tcPr>
          <w:p w14:paraId="0E49E3A9">
            <w:pPr>
              <w:jc w:val="both"/>
              <w:rPr>
                <w:color w:val="auto"/>
                <w:sz w:val="2"/>
                <w:szCs w:val="2"/>
              </w:rPr>
            </w:pPr>
          </w:p>
        </w:tc>
        <w:tc>
          <w:tcPr>
            <w:tcW w:w="1183" w:type="dxa"/>
            <w:vAlign w:val="top"/>
          </w:tcPr>
          <w:p w14:paraId="7D9F8BF5">
            <w:pPr>
              <w:pStyle w:val="8"/>
              <w:spacing w:before="149"/>
              <w:ind w:left="150" w:right="138"/>
              <w:jc w:val="both"/>
              <w:rPr>
                <w:b/>
                <w:color w:val="auto"/>
                <w:sz w:val="21"/>
              </w:rPr>
            </w:pPr>
            <w:r>
              <w:rPr>
                <w:b/>
                <w:color w:val="auto"/>
                <w:sz w:val="21"/>
              </w:rPr>
              <w:t>裁量等级</w:t>
            </w:r>
          </w:p>
        </w:tc>
        <w:tc>
          <w:tcPr>
            <w:tcW w:w="2715" w:type="dxa"/>
            <w:vAlign w:val="top"/>
          </w:tcPr>
          <w:p w14:paraId="49F74D39">
            <w:pPr>
              <w:pStyle w:val="8"/>
              <w:spacing w:before="149"/>
              <w:ind w:left="108"/>
              <w:jc w:val="both"/>
              <w:rPr>
                <w:b/>
                <w:color w:val="auto"/>
                <w:sz w:val="21"/>
              </w:rPr>
            </w:pPr>
            <w:r>
              <w:rPr>
                <w:b/>
                <w:color w:val="auto"/>
                <w:sz w:val="21"/>
              </w:rPr>
              <w:t>减轻</w:t>
            </w:r>
          </w:p>
        </w:tc>
        <w:tc>
          <w:tcPr>
            <w:tcW w:w="2714" w:type="dxa"/>
            <w:vAlign w:val="top"/>
          </w:tcPr>
          <w:p w14:paraId="27ABFA89">
            <w:pPr>
              <w:pStyle w:val="8"/>
              <w:spacing w:before="149"/>
              <w:ind w:left="108"/>
              <w:jc w:val="both"/>
              <w:rPr>
                <w:b/>
                <w:color w:val="auto"/>
                <w:sz w:val="21"/>
              </w:rPr>
            </w:pPr>
            <w:r>
              <w:rPr>
                <w:b/>
                <w:color w:val="auto"/>
                <w:sz w:val="21"/>
              </w:rPr>
              <w:t>从轻</w:t>
            </w:r>
          </w:p>
        </w:tc>
        <w:tc>
          <w:tcPr>
            <w:tcW w:w="2717" w:type="dxa"/>
            <w:vAlign w:val="top"/>
          </w:tcPr>
          <w:p w14:paraId="098F1C90">
            <w:pPr>
              <w:pStyle w:val="8"/>
              <w:spacing w:before="149"/>
              <w:ind w:left="108"/>
              <w:jc w:val="both"/>
              <w:rPr>
                <w:b/>
                <w:color w:val="auto"/>
                <w:sz w:val="21"/>
              </w:rPr>
            </w:pPr>
            <w:r>
              <w:rPr>
                <w:b/>
                <w:color w:val="auto"/>
                <w:sz w:val="21"/>
              </w:rPr>
              <w:t>一般</w:t>
            </w:r>
          </w:p>
        </w:tc>
        <w:tc>
          <w:tcPr>
            <w:tcW w:w="3900" w:type="dxa"/>
            <w:vAlign w:val="top"/>
          </w:tcPr>
          <w:p w14:paraId="69ED0CB2">
            <w:pPr>
              <w:pStyle w:val="8"/>
              <w:spacing w:before="149"/>
              <w:ind w:left="106"/>
              <w:jc w:val="both"/>
              <w:rPr>
                <w:b/>
                <w:color w:val="auto"/>
                <w:sz w:val="21"/>
              </w:rPr>
            </w:pPr>
            <w:r>
              <w:rPr>
                <w:b/>
                <w:color w:val="auto"/>
                <w:sz w:val="21"/>
              </w:rPr>
              <w:t>从重</w:t>
            </w:r>
          </w:p>
        </w:tc>
      </w:tr>
      <w:tr w14:paraId="6247C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0" w:hRule="atLeast"/>
        </w:trPr>
        <w:tc>
          <w:tcPr>
            <w:tcW w:w="562" w:type="dxa"/>
            <w:vMerge w:val="continue"/>
            <w:tcBorders>
              <w:top w:val="nil"/>
            </w:tcBorders>
            <w:vAlign w:val="top"/>
          </w:tcPr>
          <w:p w14:paraId="3945948C">
            <w:pPr>
              <w:jc w:val="both"/>
              <w:rPr>
                <w:color w:val="auto"/>
                <w:sz w:val="2"/>
                <w:szCs w:val="2"/>
              </w:rPr>
            </w:pPr>
          </w:p>
        </w:tc>
        <w:tc>
          <w:tcPr>
            <w:tcW w:w="1183" w:type="dxa"/>
            <w:vAlign w:val="top"/>
          </w:tcPr>
          <w:p w14:paraId="0EEA40DF">
            <w:pPr>
              <w:pStyle w:val="8"/>
              <w:jc w:val="both"/>
              <w:rPr>
                <w:rFonts w:ascii="Times New Roman"/>
                <w:color w:val="auto"/>
                <w:sz w:val="20"/>
              </w:rPr>
            </w:pPr>
          </w:p>
          <w:p w14:paraId="3F2E5F95">
            <w:pPr>
              <w:pStyle w:val="8"/>
              <w:spacing w:before="10"/>
              <w:jc w:val="both"/>
              <w:rPr>
                <w:rFonts w:ascii="Times New Roman"/>
                <w:color w:val="auto"/>
                <w:sz w:val="19"/>
              </w:rPr>
            </w:pPr>
          </w:p>
          <w:p w14:paraId="476DC237">
            <w:pPr>
              <w:pStyle w:val="8"/>
              <w:spacing w:before="1"/>
              <w:ind w:left="150" w:right="138"/>
              <w:jc w:val="both"/>
              <w:rPr>
                <w:b/>
                <w:color w:val="auto"/>
                <w:sz w:val="21"/>
              </w:rPr>
            </w:pPr>
            <w:r>
              <w:rPr>
                <w:b/>
                <w:color w:val="auto"/>
                <w:sz w:val="21"/>
              </w:rPr>
              <w:t>裁量情节</w:t>
            </w:r>
          </w:p>
        </w:tc>
        <w:tc>
          <w:tcPr>
            <w:tcW w:w="2715" w:type="dxa"/>
            <w:vAlign w:val="top"/>
          </w:tcPr>
          <w:p w14:paraId="0793DB0F">
            <w:pPr>
              <w:pStyle w:val="8"/>
              <w:jc w:val="both"/>
              <w:rPr>
                <w:rFonts w:ascii="Times New Roman"/>
                <w:color w:val="auto"/>
                <w:sz w:val="28"/>
              </w:rPr>
            </w:pPr>
          </w:p>
          <w:p w14:paraId="53AE7970">
            <w:pPr>
              <w:pStyle w:val="8"/>
              <w:spacing w:line="244" w:lineRule="auto"/>
              <w:ind w:left="108" w:right="97"/>
              <w:jc w:val="both"/>
              <w:rPr>
                <w:color w:val="auto"/>
                <w:sz w:val="21"/>
              </w:rPr>
            </w:pPr>
            <w:r>
              <w:rPr>
                <w:color w:val="auto"/>
                <w:sz w:val="21"/>
              </w:rPr>
              <w:t>符合裁量规定减轻行政处罚情形的。</w:t>
            </w:r>
          </w:p>
        </w:tc>
        <w:tc>
          <w:tcPr>
            <w:tcW w:w="2714" w:type="dxa"/>
            <w:vAlign w:val="top"/>
          </w:tcPr>
          <w:p w14:paraId="153BDE9D">
            <w:pPr>
              <w:pStyle w:val="8"/>
              <w:jc w:val="both"/>
              <w:rPr>
                <w:rFonts w:ascii="Times New Roman"/>
                <w:color w:val="auto"/>
                <w:sz w:val="28"/>
              </w:rPr>
            </w:pPr>
          </w:p>
          <w:p w14:paraId="53D229C9">
            <w:pPr>
              <w:pStyle w:val="8"/>
              <w:spacing w:line="244" w:lineRule="auto"/>
              <w:ind w:left="108" w:right="94"/>
              <w:jc w:val="both"/>
              <w:rPr>
                <w:color w:val="auto"/>
                <w:sz w:val="21"/>
              </w:rPr>
            </w:pPr>
            <w:r>
              <w:rPr>
                <w:color w:val="auto"/>
                <w:sz w:val="21"/>
              </w:rPr>
              <w:t>符合裁量规定从轻行政处罚情形的。</w:t>
            </w:r>
          </w:p>
        </w:tc>
        <w:tc>
          <w:tcPr>
            <w:tcW w:w="2717" w:type="dxa"/>
            <w:vAlign w:val="top"/>
          </w:tcPr>
          <w:p w14:paraId="7CCA54E0">
            <w:pPr>
              <w:pStyle w:val="8"/>
              <w:jc w:val="both"/>
              <w:rPr>
                <w:rFonts w:ascii="Times New Roman"/>
                <w:color w:val="auto"/>
                <w:sz w:val="28"/>
              </w:rPr>
            </w:pPr>
          </w:p>
          <w:p w14:paraId="480493B4">
            <w:pPr>
              <w:pStyle w:val="8"/>
              <w:spacing w:line="244" w:lineRule="auto"/>
              <w:ind w:left="108" w:right="97"/>
              <w:jc w:val="both"/>
              <w:rPr>
                <w:color w:val="auto"/>
                <w:sz w:val="21"/>
              </w:rPr>
            </w:pPr>
            <w:r>
              <w:rPr>
                <w:color w:val="auto"/>
                <w:sz w:val="21"/>
              </w:rPr>
              <w:t>符合裁量规定一般行政处罚情形的。</w:t>
            </w:r>
          </w:p>
        </w:tc>
        <w:tc>
          <w:tcPr>
            <w:tcW w:w="3900" w:type="dxa"/>
            <w:vAlign w:val="top"/>
          </w:tcPr>
          <w:p w14:paraId="176C8B00">
            <w:pPr>
              <w:pStyle w:val="8"/>
              <w:jc w:val="both"/>
              <w:rPr>
                <w:rFonts w:ascii="Times New Roman"/>
                <w:color w:val="auto"/>
                <w:sz w:val="20"/>
              </w:rPr>
            </w:pPr>
          </w:p>
          <w:p w14:paraId="01CBBB7B">
            <w:pPr>
              <w:pStyle w:val="8"/>
              <w:spacing w:before="10"/>
              <w:jc w:val="both"/>
              <w:rPr>
                <w:rFonts w:ascii="Times New Roman"/>
                <w:color w:val="auto"/>
                <w:sz w:val="19"/>
              </w:rPr>
            </w:pPr>
          </w:p>
          <w:p w14:paraId="1BA60B9F">
            <w:pPr>
              <w:pStyle w:val="8"/>
              <w:spacing w:before="1"/>
              <w:ind w:left="106"/>
              <w:jc w:val="both"/>
              <w:rPr>
                <w:color w:val="auto"/>
                <w:sz w:val="21"/>
              </w:rPr>
            </w:pPr>
            <w:r>
              <w:rPr>
                <w:color w:val="auto"/>
                <w:sz w:val="21"/>
              </w:rPr>
              <w:t>符合裁量规定从重行政处罚情形的。</w:t>
            </w:r>
          </w:p>
        </w:tc>
      </w:tr>
      <w:tr w14:paraId="31D3F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7" w:hRule="atLeast"/>
        </w:trPr>
        <w:tc>
          <w:tcPr>
            <w:tcW w:w="562" w:type="dxa"/>
            <w:vMerge w:val="continue"/>
            <w:tcBorders>
              <w:top w:val="nil"/>
            </w:tcBorders>
            <w:vAlign w:val="top"/>
          </w:tcPr>
          <w:p w14:paraId="0FCDE311">
            <w:pPr>
              <w:jc w:val="both"/>
              <w:rPr>
                <w:color w:val="auto"/>
                <w:sz w:val="2"/>
                <w:szCs w:val="2"/>
              </w:rPr>
            </w:pPr>
          </w:p>
        </w:tc>
        <w:tc>
          <w:tcPr>
            <w:tcW w:w="1183" w:type="dxa"/>
            <w:vAlign w:val="top"/>
          </w:tcPr>
          <w:p w14:paraId="6D4C7849">
            <w:pPr>
              <w:pStyle w:val="8"/>
              <w:jc w:val="both"/>
              <w:rPr>
                <w:rFonts w:ascii="Times New Roman"/>
                <w:color w:val="auto"/>
                <w:sz w:val="20"/>
              </w:rPr>
            </w:pPr>
          </w:p>
          <w:p w14:paraId="75BA4598">
            <w:pPr>
              <w:pStyle w:val="8"/>
              <w:jc w:val="both"/>
              <w:rPr>
                <w:rFonts w:ascii="Times New Roman"/>
                <w:color w:val="auto"/>
                <w:sz w:val="20"/>
              </w:rPr>
            </w:pPr>
          </w:p>
          <w:p w14:paraId="04C04AB7">
            <w:pPr>
              <w:pStyle w:val="8"/>
              <w:jc w:val="both"/>
              <w:rPr>
                <w:rFonts w:ascii="Times New Roman"/>
                <w:color w:val="auto"/>
                <w:sz w:val="20"/>
              </w:rPr>
            </w:pPr>
          </w:p>
          <w:p w14:paraId="08B3EF57">
            <w:pPr>
              <w:pStyle w:val="8"/>
              <w:jc w:val="both"/>
              <w:rPr>
                <w:rFonts w:ascii="Times New Roman"/>
                <w:color w:val="auto"/>
                <w:sz w:val="20"/>
              </w:rPr>
            </w:pPr>
          </w:p>
          <w:p w14:paraId="4AEF3C4B">
            <w:pPr>
              <w:pStyle w:val="8"/>
              <w:jc w:val="both"/>
              <w:rPr>
                <w:rFonts w:ascii="Times New Roman"/>
                <w:color w:val="auto"/>
                <w:sz w:val="20"/>
              </w:rPr>
            </w:pPr>
          </w:p>
          <w:p w14:paraId="1466FADF">
            <w:pPr>
              <w:pStyle w:val="8"/>
              <w:spacing w:before="132"/>
              <w:ind w:left="150" w:right="138"/>
              <w:jc w:val="both"/>
              <w:rPr>
                <w:b/>
                <w:color w:val="auto"/>
                <w:sz w:val="21"/>
              </w:rPr>
            </w:pPr>
            <w:r>
              <w:rPr>
                <w:b/>
                <w:color w:val="auto"/>
                <w:sz w:val="21"/>
              </w:rPr>
              <w:t>裁量基准</w:t>
            </w:r>
          </w:p>
        </w:tc>
        <w:tc>
          <w:tcPr>
            <w:tcW w:w="2715" w:type="dxa"/>
            <w:vAlign w:val="top"/>
          </w:tcPr>
          <w:p w14:paraId="76972465">
            <w:pPr>
              <w:pStyle w:val="8"/>
              <w:jc w:val="both"/>
              <w:rPr>
                <w:rFonts w:ascii="Times New Roman"/>
                <w:color w:val="auto"/>
                <w:sz w:val="20"/>
              </w:rPr>
            </w:pPr>
          </w:p>
          <w:p w14:paraId="0C87A010">
            <w:pPr>
              <w:pStyle w:val="8"/>
              <w:jc w:val="both"/>
              <w:rPr>
                <w:rFonts w:ascii="Times New Roman"/>
                <w:color w:val="auto"/>
                <w:sz w:val="20"/>
              </w:rPr>
            </w:pPr>
          </w:p>
          <w:p w14:paraId="5D480CF1">
            <w:pPr>
              <w:pStyle w:val="8"/>
              <w:spacing w:before="1"/>
              <w:jc w:val="both"/>
              <w:rPr>
                <w:rFonts w:ascii="Times New Roman"/>
                <w:color w:val="auto"/>
                <w:sz w:val="24"/>
              </w:rPr>
            </w:pPr>
          </w:p>
          <w:p w14:paraId="2E2F333B">
            <w:pPr>
              <w:pStyle w:val="8"/>
              <w:spacing w:before="1"/>
              <w:ind w:left="108"/>
              <w:jc w:val="both"/>
              <w:rPr>
                <w:color w:val="auto"/>
                <w:sz w:val="21"/>
              </w:rPr>
            </w:pPr>
            <w:r>
              <w:rPr>
                <w:color w:val="auto"/>
                <w:spacing w:val="-9"/>
                <w:sz w:val="21"/>
              </w:rPr>
              <w:t xml:space="preserve">违法所得不足 </w:t>
            </w:r>
            <w:r>
              <w:rPr>
                <w:color w:val="auto"/>
                <w:sz w:val="21"/>
              </w:rPr>
              <w:t>1</w:t>
            </w:r>
            <w:r>
              <w:rPr>
                <w:color w:val="auto"/>
                <w:spacing w:val="-15"/>
                <w:sz w:val="21"/>
              </w:rPr>
              <w:t xml:space="preserve"> 万元的，并</w:t>
            </w:r>
          </w:p>
          <w:p w14:paraId="16E08A93">
            <w:pPr>
              <w:pStyle w:val="8"/>
              <w:spacing w:before="2"/>
              <w:ind w:left="108"/>
              <w:jc w:val="both"/>
              <w:rPr>
                <w:color w:val="auto"/>
                <w:sz w:val="21"/>
              </w:rPr>
            </w:pPr>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4"/>
                <w:sz w:val="21"/>
              </w:rPr>
              <w:t xml:space="preserve"> 万元以下</w:t>
            </w:r>
          </w:p>
          <w:p w14:paraId="3C44BBC2">
            <w:pPr>
              <w:pStyle w:val="8"/>
              <w:spacing w:before="4"/>
              <w:ind w:left="108"/>
              <w:jc w:val="both"/>
              <w:rPr>
                <w:color w:val="auto"/>
                <w:sz w:val="21"/>
              </w:rPr>
            </w:pPr>
            <w:r>
              <w:rPr>
                <w:color w:val="auto"/>
                <w:spacing w:val="-11"/>
                <w:sz w:val="21"/>
              </w:rPr>
              <w:t xml:space="preserve">罚款；违法所得 </w:t>
            </w:r>
            <w:r>
              <w:rPr>
                <w:color w:val="auto"/>
                <w:sz w:val="21"/>
              </w:rPr>
              <w:t>1</w:t>
            </w:r>
            <w:r>
              <w:rPr>
                <w:color w:val="auto"/>
                <w:spacing w:val="-12"/>
                <w:sz w:val="21"/>
              </w:rPr>
              <w:t xml:space="preserve"> 万元以上</w:t>
            </w:r>
          </w:p>
          <w:p w14:paraId="7779063E">
            <w:pPr>
              <w:pStyle w:val="8"/>
              <w:spacing w:before="2"/>
              <w:ind w:left="108"/>
              <w:jc w:val="both"/>
              <w:rPr>
                <w:color w:val="auto"/>
                <w:sz w:val="21"/>
              </w:rPr>
            </w:pPr>
            <w:r>
              <w:rPr>
                <w:color w:val="auto"/>
                <w:spacing w:val="-11"/>
                <w:sz w:val="21"/>
              </w:rPr>
              <w:t xml:space="preserve">的，并处违法所得 </w:t>
            </w:r>
            <w:r>
              <w:rPr>
                <w:color w:val="auto"/>
                <w:sz w:val="21"/>
              </w:rPr>
              <w:t>1</w:t>
            </w:r>
            <w:r>
              <w:rPr>
                <w:color w:val="auto"/>
                <w:spacing w:val="-15"/>
                <w:sz w:val="21"/>
              </w:rPr>
              <w:t xml:space="preserve"> 倍以上</w:t>
            </w:r>
          </w:p>
          <w:p w14:paraId="503CEDD4">
            <w:pPr>
              <w:pStyle w:val="8"/>
              <w:spacing w:before="5"/>
              <w:ind w:left="108"/>
              <w:jc w:val="both"/>
              <w:rPr>
                <w:color w:val="auto"/>
                <w:sz w:val="21"/>
              </w:rPr>
            </w:pPr>
            <w:r>
              <w:rPr>
                <w:color w:val="auto"/>
                <w:sz w:val="21"/>
              </w:rPr>
              <w:t>10 倍以下罚款。</w:t>
            </w:r>
          </w:p>
        </w:tc>
        <w:tc>
          <w:tcPr>
            <w:tcW w:w="2714" w:type="dxa"/>
            <w:vAlign w:val="top"/>
          </w:tcPr>
          <w:p w14:paraId="172FECD1">
            <w:pPr>
              <w:pStyle w:val="8"/>
              <w:jc w:val="both"/>
              <w:rPr>
                <w:rFonts w:ascii="Times New Roman"/>
                <w:color w:val="auto"/>
                <w:sz w:val="20"/>
              </w:rPr>
            </w:pPr>
          </w:p>
          <w:p w14:paraId="2FBB7CF2">
            <w:pPr>
              <w:pStyle w:val="8"/>
              <w:jc w:val="both"/>
              <w:rPr>
                <w:rFonts w:ascii="Times New Roman"/>
                <w:color w:val="auto"/>
                <w:sz w:val="20"/>
              </w:rPr>
            </w:pPr>
          </w:p>
          <w:p w14:paraId="2130D539">
            <w:pPr>
              <w:pStyle w:val="8"/>
              <w:spacing w:before="1"/>
              <w:jc w:val="both"/>
              <w:rPr>
                <w:rFonts w:ascii="Times New Roman"/>
                <w:color w:val="auto"/>
                <w:sz w:val="24"/>
              </w:rPr>
            </w:pPr>
          </w:p>
          <w:p w14:paraId="7F6408D5">
            <w:pPr>
              <w:pStyle w:val="8"/>
              <w:spacing w:before="1"/>
              <w:ind w:left="108"/>
              <w:jc w:val="both"/>
              <w:rPr>
                <w:color w:val="auto"/>
                <w:sz w:val="21"/>
              </w:rPr>
            </w:pPr>
            <w:r>
              <w:rPr>
                <w:color w:val="auto"/>
                <w:spacing w:val="-9"/>
                <w:sz w:val="21"/>
              </w:rPr>
              <w:t xml:space="preserve">违法所得不足 </w:t>
            </w:r>
            <w:r>
              <w:rPr>
                <w:color w:val="auto"/>
                <w:sz w:val="21"/>
              </w:rPr>
              <w:t>1</w:t>
            </w:r>
            <w:r>
              <w:rPr>
                <w:color w:val="auto"/>
                <w:spacing w:val="-15"/>
                <w:sz w:val="21"/>
              </w:rPr>
              <w:t xml:space="preserve"> 万元的，并</w:t>
            </w:r>
          </w:p>
          <w:p w14:paraId="22DCB687">
            <w:pPr>
              <w:pStyle w:val="8"/>
              <w:spacing w:before="2"/>
              <w:ind w:left="108"/>
              <w:jc w:val="both"/>
              <w:rPr>
                <w:color w:val="auto"/>
                <w:sz w:val="21"/>
              </w:rPr>
            </w:pPr>
            <w:r>
              <w:rPr>
                <w:color w:val="auto"/>
                <w:spacing w:val="-28"/>
                <w:sz w:val="21"/>
              </w:rPr>
              <w:t xml:space="preserve">处 </w:t>
            </w:r>
            <w:r>
              <w:rPr>
                <w:color w:val="auto"/>
                <w:sz w:val="21"/>
              </w:rPr>
              <w:t>5</w:t>
            </w:r>
            <w:r>
              <w:rPr>
                <w:color w:val="auto"/>
                <w:spacing w:val="-21"/>
                <w:sz w:val="21"/>
              </w:rPr>
              <w:t xml:space="preserve"> 万元以上 </w:t>
            </w:r>
            <w:r>
              <w:rPr>
                <w:color w:val="auto"/>
                <w:sz w:val="21"/>
              </w:rPr>
              <w:t>6.5</w:t>
            </w:r>
            <w:r>
              <w:rPr>
                <w:color w:val="auto"/>
                <w:spacing w:val="-13"/>
                <w:sz w:val="21"/>
              </w:rPr>
              <w:t xml:space="preserve"> 万元以下</w:t>
            </w:r>
          </w:p>
          <w:p w14:paraId="4AAB1599">
            <w:pPr>
              <w:pStyle w:val="8"/>
              <w:spacing w:before="4"/>
              <w:ind w:left="108"/>
              <w:jc w:val="both"/>
              <w:rPr>
                <w:color w:val="auto"/>
                <w:sz w:val="21"/>
              </w:rPr>
            </w:pPr>
            <w:r>
              <w:rPr>
                <w:color w:val="auto"/>
                <w:spacing w:val="-12"/>
                <w:sz w:val="21"/>
              </w:rPr>
              <w:t xml:space="preserve">罚款；违法所得 </w:t>
            </w:r>
            <w:r>
              <w:rPr>
                <w:color w:val="auto"/>
                <w:sz w:val="21"/>
              </w:rPr>
              <w:t>1</w:t>
            </w:r>
            <w:r>
              <w:rPr>
                <w:color w:val="auto"/>
                <w:spacing w:val="-12"/>
                <w:sz w:val="21"/>
              </w:rPr>
              <w:t xml:space="preserve"> 万元以上</w:t>
            </w:r>
          </w:p>
          <w:p w14:paraId="6FD99AD4">
            <w:pPr>
              <w:pStyle w:val="8"/>
              <w:spacing w:before="2"/>
              <w:ind w:left="108"/>
              <w:jc w:val="both"/>
              <w:rPr>
                <w:color w:val="auto"/>
                <w:sz w:val="21"/>
              </w:rPr>
            </w:pPr>
            <w:r>
              <w:rPr>
                <w:color w:val="auto"/>
                <w:spacing w:val="-4"/>
                <w:sz w:val="21"/>
              </w:rPr>
              <w:t xml:space="preserve">的，并处违法所得 </w:t>
            </w:r>
            <w:r>
              <w:rPr>
                <w:color w:val="auto"/>
                <w:sz w:val="21"/>
              </w:rPr>
              <w:t>10</w:t>
            </w:r>
            <w:r>
              <w:rPr>
                <w:color w:val="auto"/>
                <w:spacing w:val="-4"/>
                <w:sz w:val="21"/>
              </w:rPr>
              <w:t xml:space="preserve"> 倍以</w:t>
            </w:r>
          </w:p>
          <w:p w14:paraId="6D7B1565">
            <w:pPr>
              <w:pStyle w:val="8"/>
              <w:spacing w:before="5"/>
              <w:ind w:left="108"/>
              <w:jc w:val="both"/>
              <w:rPr>
                <w:color w:val="auto"/>
                <w:sz w:val="21"/>
              </w:rPr>
            </w:pPr>
            <w:r>
              <w:rPr>
                <w:color w:val="auto"/>
                <w:sz w:val="21"/>
              </w:rPr>
              <w:t>上 13 倍以下罚款。</w:t>
            </w:r>
          </w:p>
        </w:tc>
        <w:tc>
          <w:tcPr>
            <w:tcW w:w="2717" w:type="dxa"/>
            <w:vAlign w:val="top"/>
          </w:tcPr>
          <w:p w14:paraId="355ED9A5">
            <w:pPr>
              <w:pStyle w:val="8"/>
              <w:jc w:val="both"/>
              <w:rPr>
                <w:rFonts w:ascii="Times New Roman"/>
                <w:color w:val="auto"/>
                <w:sz w:val="20"/>
              </w:rPr>
            </w:pPr>
          </w:p>
          <w:p w14:paraId="50835CDB">
            <w:pPr>
              <w:pStyle w:val="8"/>
              <w:jc w:val="both"/>
              <w:rPr>
                <w:rFonts w:ascii="Times New Roman"/>
                <w:color w:val="auto"/>
                <w:sz w:val="20"/>
              </w:rPr>
            </w:pPr>
          </w:p>
          <w:p w14:paraId="6EB67CA1">
            <w:pPr>
              <w:pStyle w:val="8"/>
              <w:spacing w:before="1"/>
              <w:jc w:val="both"/>
              <w:rPr>
                <w:rFonts w:ascii="Times New Roman"/>
                <w:color w:val="auto"/>
                <w:sz w:val="24"/>
              </w:rPr>
            </w:pPr>
          </w:p>
          <w:p w14:paraId="6A70D7F5">
            <w:pPr>
              <w:pStyle w:val="8"/>
              <w:spacing w:before="1"/>
              <w:ind w:left="108"/>
              <w:jc w:val="both"/>
              <w:rPr>
                <w:color w:val="auto"/>
                <w:sz w:val="21"/>
              </w:rPr>
            </w:pPr>
            <w:r>
              <w:rPr>
                <w:color w:val="auto"/>
                <w:spacing w:val="-9"/>
                <w:sz w:val="21"/>
              </w:rPr>
              <w:t xml:space="preserve">违法所得不足 </w:t>
            </w:r>
            <w:r>
              <w:rPr>
                <w:color w:val="auto"/>
                <w:sz w:val="21"/>
              </w:rPr>
              <w:t>1</w:t>
            </w:r>
            <w:r>
              <w:rPr>
                <w:color w:val="auto"/>
                <w:spacing w:val="-15"/>
                <w:sz w:val="21"/>
              </w:rPr>
              <w:t xml:space="preserve"> 万元的，并</w:t>
            </w:r>
          </w:p>
          <w:p w14:paraId="6BE52F32">
            <w:pPr>
              <w:pStyle w:val="8"/>
              <w:spacing w:before="2"/>
              <w:ind w:left="108"/>
              <w:jc w:val="both"/>
              <w:rPr>
                <w:color w:val="auto"/>
                <w:sz w:val="21"/>
              </w:rPr>
            </w:pPr>
            <w:r>
              <w:rPr>
                <w:color w:val="auto"/>
                <w:spacing w:val="-28"/>
                <w:sz w:val="21"/>
              </w:rPr>
              <w:t xml:space="preserve">处 </w:t>
            </w:r>
            <w:r>
              <w:rPr>
                <w:color w:val="auto"/>
                <w:sz w:val="21"/>
              </w:rPr>
              <w:t>6.5</w:t>
            </w:r>
            <w:r>
              <w:rPr>
                <w:color w:val="auto"/>
                <w:spacing w:val="-20"/>
                <w:sz w:val="21"/>
              </w:rPr>
              <w:t xml:space="preserve"> 万元以上 </w:t>
            </w:r>
            <w:r>
              <w:rPr>
                <w:color w:val="auto"/>
                <w:sz w:val="21"/>
              </w:rPr>
              <w:t>8.5</w:t>
            </w:r>
            <w:r>
              <w:rPr>
                <w:color w:val="auto"/>
                <w:spacing w:val="-16"/>
                <w:sz w:val="21"/>
              </w:rPr>
              <w:t xml:space="preserve"> 万元以</w:t>
            </w:r>
          </w:p>
          <w:p w14:paraId="6B6A25BD">
            <w:pPr>
              <w:pStyle w:val="8"/>
              <w:spacing w:before="4"/>
              <w:ind w:left="108"/>
              <w:jc w:val="both"/>
              <w:rPr>
                <w:color w:val="auto"/>
                <w:sz w:val="21"/>
              </w:rPr>
            </w:pPr>
            <w:r>
              <w:rPr>
                <w:color w:val="auto"/>
                <w:spacing w:val="-11"/>
                <w:sz w:val="21"/>
              </w:rPr>
              <w:t xml:space="preserve">下罚款；违法所得 </w:t>
            </w:r>
            <w:r>
              <w:rPr>
                <w:color w:val="auto"/>
                <w:sz w:val="21"/>
              </w:rPr>
              <w:t>1</w:t>
            </w:r>
            <w:r>
              <w:rPr>
                <w:color w:val="auto"/>
                <w:spacing w:val="-14"/>
                <w:sz w:val="21"/>
              </w:rPr>
              <w:t xml:space="preserve"> 万元以</w:t>
            </w:r>
          </w:p>
          <w:p w14:paraId="6C340CE4">
            <w:pPr>
              <w:pStyle w:val="8"/>
              <w:spacing w:before="2"/>
              <w:ind w:left="108"/>
              <w:jc w:val="both"/>
              <w:rPr>
                <w:color w:val="auto"/>
                <w:sz w:val="21"/>
              </w:rPr>
            </w:pPr>
            <w:r>
              <w:rPr>
                <w:color w:val="auto"/>
                <w:spacing w:val="-4"/>
                <w:sz w:val="21"/>
              </w:rPr>
              <w:t xml:space="preserve">上的，并处违法所得 </w:t>
            </w:r>
            <w:r>
              <w:rPr>
                <w:color w:val="auto"/>
                <w:sz w:val="21"/>
              </w:rPr>
              <w:t>13</w:t>
            </w:r>
            <w:r>
              <w:rPr>
                <w:color w:val="auto"/>
                <w:spacing w:val="-4"/>
                <w:sz w:val="21"/>
              </w:rPr>
              <w:t xml:space="preserve"> 倍</w:t>
            </w:r>
          </w:p>
          <w:p w14:paraId="22CB80E2">
            <w:pPr>
              <w:pStyle w:val="8"/>
              <w:spacing w:before="5"/>
              <w:ind w:left="108"/>
              <w:jc w:val="both"/>
              <w:rPr>
                <w:color w:val="auto"/>
                <w:sz w:val="21"/>
              </w:rPr>
            </w:pPr>
            <w:r>
              <w:rPr>
                <w:color w:val="auto"/>
                <w:sz w:val="21"/>
              </w:rPr>
              <w:t>以上 17 倍以下罚款。</w:t>
            </w:r>
          </w:p>
        </w:tc>
        <w:tc>
          <w:tcPr>
            <w:tcW w:w="3900" w:type="dxa"/>
            <w:vAlign w:val="top"/>
          </w:tcPr>
          <w:p w14:paraId="4D69F169">
            <w:pPr>
              <w:pStyle w:val="8"/>
              <w:jc w:val="both"/>
              <w:rPr>
                <w:rFonts w:ascii="Times New Roman"/>
                <w:color w:val="auto"/>
                <w:sz w:val="20"/>
              </w:rPr>
            </w:pPr>
          </w:p>
          <w:p w14:paraId="3582E374">
            <w:pPr>
              <w:pStyle w:val="8"/>
              <w:jc w:val="both"/>
              <w:rPr>
                <w:rFonts w:ascii="Times New Roman"/>
                <w:color w:val="auto"/>
                <w:sz w:val="20"/>
              </w:rPr>
            </w:pPr>
          </w:p>
          <w:p w14:paraId="2D3E1919">
            <w:pPr>
              <w:pStyle w:val="8"/>
              <w:jc w:val="both"/>
              <w:rPr>
                <w:rFonts w:ascii="Times New Roman"/>
                <w:color w:val="auto"/>
                <w:sz w:val="20"/>
              </w:rPr>
            </w:pPr>
          </w:p>
          <w:p w14:paraId="3EA587B2">
            <w:pPr>
              <w:pStyle w:val="8"/>
              <w:jc w:val="both"/>
              <w:rPr>
                <w:rFonts w:ascii="Times New Roman"/>
                <w:color w:val="auto"/>
                <w:sz w:val="16"/>
              </w:rPr>
            </w:pPr>
          </w:p>
          <w:p w14:paraId="12441F30">
            <w:pPr>
              <w:pStyle w:val="8"/>
              <w:ind w:left="106"/>
              <w:jc w:val="both"/>
              <w:rPr>
                <w:color w:val="auto"/>
                <w:sz w:val="21"/>
              </w:rPr>
            </w:pPr>
            <w:r>
              <w:rPr>
                <w:color w:val="auto"/>
                <w:spacing w:val="-9"/>
                <w:sz w:val="21"/>
              </w:rPr>
              <w:t xml:space="preserve">违法所得不足 </w:t>
            </w:r>
            <w:r>
              <w:rPr>
                <w:color w:val="auto"/>
                <w:sz w:val="21"/>
              </w:rPr>
              <w:t>1</w:t>
            </w:r>
            <w:r>
              <w:rPr>
                <w:color w:val="auto"/>
                <w:spacing w:val="-27"/>
                <w:sz w:val="21"/>
              </w:rPr>
              <w:t xml:space="preserve"> 万元的，并处 </w:t>
            </w:r>
            <w:r>
              <w:rPr>
                <w:color w:val="auto"/>
                <w:sz w:val="21"/>
              </w:rPr>
              <w:t>8.5</w:t>
            </w:r>
            <w:r>
              <w:rPr>
                <w:color w:val="auto"/>
                <w:spacing w:val="-14"/>
                <w:sz w:val="21"/>
              </w:rPr>
              <w:t xml:space="preserve"> 万元以</w:t>
            </w:r>
          </w:p>
          <w:p w14:paraId="3C102A9C">
            <w:pPr>
              <w:pStyle w:val="8"/>
              <w:spacing w:before="3"/>
              <w:ind w:left="106"/>
              <w:jc w:val="both"/>
              <w:rPr>
                <w:color w:val="auto"/>
                <w:sz w:val="21"/>
              </w:rPr>
            </w:pPr>
            <w:r>
              <w:rPr>
                <w:color w:val="auto"/>
                <w:spacing w:val="-23"/>
                <w:sz w:val="21"/>
              </w:rPr>
              <w:t xml:space="preserve">上 </w:t>
            </w:r>
            <w:r>
              <w:rPr>
                <w:color w:val="auto"/>
                <w:sz w:val="21"/>
              </w:rPr>
              <w:t>10</w:t>
            </w:r>
            <w:r>
              <w:rPr>
                <w:color w:val="auto"/>
                <w:spacing w:val="-11"/>
                <w:sz w:val="21"/>
              </w:rPr>
              <w:t xml:space="preserve"> 万元以下罚款；违法所得 </w:t>
            </w:r>
            <w:r>
              <w:rPr>
                <w:color w:val="auto"/>
                <w:sz w:val="21"/>
              </w:rPr>
              <w:t>1</w:t>
            </w:r>
            <w:r>
              <w:rPr>
                <w:color w:val="auto"/>
                <w:spacing w:val="-12"/>
                <w:sz w:val="21"/>
              </w:rPr>
              <w:t xml:space="preserve"> 万元以</w:t>
            </w:r>
          </w:p>
          <w:p w14:paraId="33E05200">
            <w:pPr>
              <w:pStyle w:val="8"/>
              <w:spacing w:before="4" w:line="242" w:lineRule="auto"/>
              <w:ind w:left="106" w:right="94"/>
              <w:jc w:val="both"/>
              <w:rPr>
                <w:color w:val="auto"/>
                <w:sz w:val="21"/>
              </w:rPr>
            </w:pPr>
            <w:r>
              <w:rPr>
                <w:color w:val="auto"/>
                <w:spacing w:val="-19"/>
                <w:sz w:val="21"/>
              </w:rPr>
              <w:t xml:space="preserve">上的，并处违法所得 </w:t>
            </w:r>
            <w:r>
              <w:rPr>
                <w:color w:val="auto"/>
                <w:sz w:val="21"/>
              </w:rPr>
              <w:t>17</w:t>
            </w:r>
            <w:r>
              <w:rPr>
                <w:color w:val="auto"/>
                <w:spacing w:val="-21"/>
                <w:sz w:val="21"/>
              </w:rPr>
              <w:t xml:space="preserve"> 倍以上 </w:t>
            </w:r>
            <w:r>
              <w:rPr>
                <w:color w:val="auto"/>
                <w:sz w:val="21"/>
              </w:rPr>
              <w:t>20</w:t>
            </w:r>
            <w:r>
              <w:rPr>
                <w:color w:val="auto"/>
                <w:spacing w:val="-17"/>
                <w:sz w:val="21"/>
              </w:rPr>
              <w:t xml:space="preserve"> 倍以下</w:t>
            </w:r>
            <w:r>
              <w:rPr>
                <w:color w:val="auto"/>
                <w:sz w:val="21"/>
              </w:rPr>
              <w:t>罚款。</w:t>
            </w:r>
          </w:p>
        </w:tc>
      </w:tr>
    </w:tbl>
    <w:p w14:paraId="157BB662">
      <w:pPr>
        <w:spacing w:after="0" w:line="242" w:lineRule="auto"/>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6"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593"/>
        <w:gridCol w:w="591"/>
        <w:gridCol w:w="2716"/>
        <w:gridCol w:w="2715"/>
        <w:gridCol w:w="2718"/>
        <w:gridCol w:w="3901"/>
      </w:tblGrid>
      <w:tr w14:paraId="5F4A9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restart"/>
            <w:vAlign w:val="top"/>
          </w:tcPr>
          <w:p w14:paraId="3D6580C0">
            <w:pPr>
              <w:pStyle w:val="8"/>
              <w:jc w:val="both"/>
              <w:rPr>
                <w:rFonts w:ascii="Times New Roman"/>
                <w:color w:val="auto"/>
                <w:sz w:val="20"/>
              </w:rPr>
            </w:pPr>
          </w:p>
          <w:p w14:paraId="4A9087FD">
            <w:pPr>
              <w:pStyle w:val="8"/>
              <w:jc w:val="both"/>
              <w:rPr>
                <w:rFonts w:ascii="Times New Roman"/>
                <w:color w:val="auto"/>
                <w:sz w:val="20"/>
              </w:rPr>
            </w:pPr>
          </w:p>
          <w:p w14:paraId="1F1DE40A">
            <w:pPr>
              <w:pStyle w:val="8"/>
              <w:jc w:val="both"/>
              <w:rPr>
                <w:rFonts w:ascii="Times New Roman"/>
                <w:color w:val="auto"/>
                <w:sz w:val="20"/>
              </w:rPr>
            </w:pPr>
          </w:p>
          <w:p w14:paraId="04FA2544">
            <w:pPr>
              <w:pStyle w:val="8"/>
              <w:jc w:val="both"/>
              <w:rPr>
                <w:rFonts w:ascii="Times New Roman"/>
                <w:color w:val="auto"/>
                <w:sz w:val="20"/>
              </w:rPr>
            </w:pPr>
          </w:p>
          <w:p w14:paraId="0016440C">
            <w:pPr>
              <w:pStyle w:val="8"/>
              <w:jc w:val="both"/>
              <w:rPr>
                <w:rFonts w:ascii="Times New Roman"/>
                <w:color w:val="auto"/>
                <w:sz w:val="20"/>
              </w:rPr>
            </w:pPr>
          </w:p>
          <w:p w14:paraId="30070A2D">
            <w:pPr>
              <w:pStyle w:val="8"/>
              <w:jc w:val="both"/>
              <w:rPr>
                <w:rFonts w:ascii="Times New Roman"/>
                <w:color w:val="auto"/>
                <w:sz w:val="20"/>
              </w:rPr>
            </w:pPr>
          </w:p>
          <w:p w14:paraId="3D77410F">
            <w:pPr>
              <w:pStyle w:val="8"/>
              <w:jc w:val="both"/>
              <w:rPr>
                <w:rFonts w:ascii="Times New Roman"/>
                <w:color w:val="auto"/>
                <w:sz w:val="20"/>
              </w:rPr>
            </w:pPr>
          </w:p>
          <w:p w14:paraId="7E17813A">
            <w:pPr>
              <w:pStyle w:val="8"/>
              <w:jc w:val="both"/>
              <w:rPr>
                <w:rFonts w:ascii="Times New Roman"/>
                <w:color w:val="auto"/>
                <w:sz w:val="20"/>
              </w:rPr>
            </w:pPr>
          </w:p>
          <w:p w14:paraId="33A2D87E">
            <w:pPr>
              <w:pStyle w:val="8"/>
              <w:jc w:val="both"/>
              <w:rPr>
                <w:rFonts w:ascii="Times New Roman"/>
                <w:color w:val="auto"/>
                <w:sz w:val="20"/>
              </w:rPr>
            </w:pPr>
          </w:p>
          <w:p w14:paraId="779EE9F0">
            <w:pPr>
              <w:pStyle w:val="8"/>
              <w:jc w:val="both"/>
              <w:rPr>
                <w:rFonts w:ascii="Times New Roman"/>
                <w:color w:val="auto"/>
                <w:sz w:val="20"/>
              </w:rPr>
            </w:pPr>
          </w:p>
          <w:p w14:paraId="6F5A5CE5">
            <w:pPr>
              <w:pStyle w:val="8"/>
              <w:jc w:val="both"/>
              <w:rPr>
                <w:rFonts w:ascii="Times New Roman"/>
                <w:color w:val="auto"/>
                <w:sz w:val="20"/>
              </w:rPr>
            </w:pPr>
          </w:p>
          <w:p w14:paraId="3AFCD89B">
            <w:pPr>
              <w:pStyle w:val="8"/>
              <w:jc w:val="both"/>
              <w:rPr>
                <w:rFonts w:ascii="Times New Roman"/>
                <w:color w:val="auto"/>
                <w:sz w:val="20"/>
              </w:rPr>
            </w:pPr>
          </w:p>
          <w:p w14:paraId="5484FED2">
            <w:pPr>
              <w:pStyle w:val="8"/>
              <w:jc w:val="both"/>
              <w:rPr>
                <w:rFonts w:ascii="Times New Roman"/>
                <w:color w:val="auto"/>
                <w:sz w:val="20"/>
              </w:rPr>
            </w:pPr>
          </w:p>
          <w:p w14:paraId="17E00577">
            <w:pPr>
              <w:pStyle w:val="8"/>
              <w:jc w:val="both"/>
              <w:rPr>
                <w:rFonts w:ascii="Times New Roman"/>
                <w:color w:val="auto"/>
                <w:sz w:val="20"/>
              </w:rPr>
            </w:pPr>
          </w:p>
          <w:p w14:paraId="4B9728C7">
            <w:pPr>
              <w:pStyle w:val="8"/>
              <w:jc w:val="both"/>
              <w:rPr>
                <w:rFonts w:ascii="Times New Roman"/>
                <w:color w:val="auto"/>
                <w:sz w:val="20"/>
              </w:rPr>
            </w:pPr>
          </w:p>
          <w:p w14:paraId="43BBB17C">
            <w:pPr>
              <w:pStyle w:val="8"/>
              <w:spacing w:before="10"/>
              <w:jc w:val="both"/>
              <w:rPr>
                <w:rFonts w:ascii="Times New Roman"/>
                <w:color w:val="auto"/>
                <w:sz w:val="15"/>
              </w:rPr>
            </w:pPr>
          </w:p>
          <w:p w14:paraId="04B0AE9B">
            <w:pPr>
              <w:pStyle w:val="8"/>
              <w:ind w:left="9"/>
              <w:jc w:val="center"/>
              <w:rPr>
                <w:color w:val="auto"/>
                <w:sz w:val="21"/>
              </w:rPr>
            </w:pPr>
            <w:r>
              <w:rPr>
                <w:color w:val="auto"/>
                <w:w w:val="100"/>
                <w:sz w:val="21"/>
              </w:rPr>
              <w:t>8</w:t>
            </w:r>
          </w:p>
        </w:tc>
        <w:tc>
          <w:tcPr>
            <w:tcW w:w="1184" w:type="dxa"/>
            <w:gridSpan w:val="2"/>
            <w:vAlign w:val="top"/>
          </w:tcPr>
          <w:p w14:paraId="2F2F3429">
            <w:pPr>
              <w:pStyle w:val="8"/>
              <w:spacing w:before="3"/>
              <w:jc w:val="both"/>
              <w:rPr>
                <w:rFonts w:ascii="Times New Roman"/>
                <w:color w:val="auto"/>
                <w:sz w:val="20"/>
              </w:rPr>
            </w:pPr>
          </w:p>
          <w:p w14:paraId="64BE41C1">
            <w:pPr>
              <w:pStyle w:val="8"/>
              <w:spacing w:before="1"/>
              <w:ind w:left="170"/>
              <w:jc w:val="both"/>
              <w:rPr>
                <w:b/>
                <w:color w:val="auto"/>
                <w:sz w:val="21"/>
              </w:rPr>
            </w:pPr>
            <w:r>
              <w:rPr>
                <w:b/>
                <w:color w:val="auto"/>
                <w:sz w:val="21"/>
              </w:rPr>
              <w:t>违法行为</w:t>
            </w:r>
          </w:p>
        </w:tc>
        <w:tc>
          <w:tcPr>
            <w:tcW w:w="12050" w:type="dxa"/>
            <w:gridSpan w:val="4"/>
            <w:vAlign w:val="top"/>
          </w:tcPr>
          <w:p w14:paraId="4A4F06C2">
            <w:pPr>
              <w:pStyle w:val="8"/>
              <w:spacing w:before="3"/>
              <w:jc w:val="both"/>
              <w:rPr>
                <w:rFonts w:ascii="Times New Roman"/>
                <w:color w:val="auto"/>
                <w:sz w:val="20"/>
              </w:rPr>
            </w:pPr>
          </w:p>
          <w:p w14:paraId="5F1569E3">
            <w:pPr>
              <w:pStyle w:val="8"/>
              <w:spacing w:before="1"/>
              <w:ind w:left="527"/>
              <w:jc w:val="both"/>
              <w:rPr>
                <w:color w:val="auto"/>
                <w:sz w:val="21"/>
              </w:rPr>
            </w:pPr>
            <w:r>
              <w:rPr>
                <w:color w:val="auto"/>
                <w:sz w:val="21"/>
              </w:rPr>
              <w:t>备案时提供虚假资料的</w:t>
            </w:r>
          </w:p>
        </w:tc>
      </w:tr>
      <w:tr w14:paraId="55B19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562" w:type="dxa"/>
            <w:vMerge w:val="continue"/>
            <w:tcBorders>
              <w:top w:val="nil"/>
            </w:tcBorders>
            <w:vAlign w:val="top"/>
          </w:tcPr>
          <w:p w14:paraId="73BD46B4">
            <w:pPr>
              <w:jc w:val="both"/>
              <w:rPr>
                <w:color w:val="auto"/>
                <w:sz w:val="2"/>
                <w:szCs w:val="2"/>
              </w:rPr>
            </w:pPr>
          </w:p>
        </w:tc>
        <w:tc>
          <w:tcPr>
            <w:tcW w:w="1184" w:type="dxa"/>
            <w:gridSpan w:val="2"/>
            <w:vAlign w:val="top"/>
          </w:tcPr>
          <w:p w14:paraId="11846BDF">
            <w:pPr>
              <w:pStyle w:val="8"/>
              <w:jc w:val="both"/>
              <w:rPr>
                <w:rFonts w:ascii="Times New Roman"/>
                <w:color w:val="auto"/>
                <w:sz w:val="20"/>
              </w:rPr>
            </w:pPr>
          </w:p>
          <w:p w14:paraId="0FD53E44">
            <w:pPr>
              <w:pStyle w:val="8"/>
              <w:jc w:val="both"/>
              <w:rPr>
                <w:rFonts w:ascii="Times New Roman"/>
                <w:color w:val="auto"/>
                <w:sz w:val="20"/>
              </w:rPr>
            </w:pPr>
          </w:p>
          <w:p w14:paraId="04984443">
            <w:pPr>
              <w:pStyle w:val="8"/>
              <w:spacing w:before="3"/>
              <w:jc w:val="both"/>
              <w:rPr>
                <w:rFonts w:ascii="Times New Roman"/>
                <w:color w:val="auto"/>
                <w:sz w:val="22"/>
              </w:rPr>
            </w:pPr>
          </w:p>
          <w:p w14:paraId="0B743738">
            <w:pPr>
              <w:pStyle w:val="8"/>
              <w:ind w:left="170"/>
              <w:jc w:val="both"/>
              <w:rPr>
                <w:b/>
                <w:color w:val="auto"/>
                <w:sz w:val="21"/>
              </w:rPr>
            </w:pPr>
            <w:r>
              <w:rPr>
                <w:b/>
                <w:color w:val="auto"/>
                <w:sz w:val="21"/>
              </w:rPr>
              <w:t>处罚依据</w:t>
            </w:r>
          </w:p>
        </w:tc>
        <w:tc>
          <w:tcPr>
            <w:tcW w:w="12050" w:type="dxa"/>
            <w:gridSpan w:val="4"/>
            <w:vAlign w:val="top"/>
          </w:tcPr>
          <w:p w14:paraId="28F1399F">
            <w:pPr>
              <w:jc w:val="both"/>
              <w:rPr>
                <w:color w:val="auto"/>
                <w:sz w:val="21"/>
              </w:rPr>
            </w:pPr>
            <w:r>
              <w:rPr>
                <w:rFonts w:ascii="仿宋" w:hAnsi="仿宋" w:eastAsia="仿宋" w:cs="仿宋"/>
                <w:color w:val="auto"/>
                <w:spacing w:val="-9"/>
                <w:kern w:val="2"/>
                <w:sz w:val="21"/>
                <w:szCs w:val="22"/>
                <w:lang w:val="zh-CN" w:eastAsia="zh-CN" w:bidi="zh-CN"/>
              </w:rPr>
              <w:t>根据《化妆品监督管理条例》第六十五条规定，由备案部门取消备案，3 年内不予办理其提出的该项备案，没收违法所得和已经生产、进口的化妆品；已经生产、进口的化妆品货值金额不足 1 万元的，并处 1 万元以上 3 万元以下罚款；货值金额 1 万元以上的，并处货值金额 3 倍以上 10 倍以下罚款。情节严重的，责令停产停业直至由原发证部门吊销化妆品生产许可证，对违法单位的法定代表人或者主要负责人、直接负责的主管人员和其他直接责任人员处以其上一年度从本单位取得收入的 1 倍以上 2 倍以下罚款，5 年内禁止其从事化妆品生产经营活动。</w:t>
            </w:r>
          </w:p>
        </w:tc>
      </w:tr>
      <w:tr w14:paraId="4F637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continue"/>
            <w:tcBorders>
              <w:top w:val="nil"/>
            </w:tcBorders>
            <w:vAlign w:val="top"/>
          </w:tcPr>
          <w:p w14:paraId="03CDF89C">
            <w:pPr>
              <w:jc w:val="both"/>
              <w:rPr>
                <w:color w:val="auto"/>
                <w:sz w:val="2"/>
                <w:szCs w:val="2"/>
              </w:rPr>
            </w:pPr>
          </w:p>
        </w:tc>
        <w:tc>
          <w:tcPr>
            <w:tcW w:w="1184" w:type="dxa"/>
            <w:gridSpan w:val="2"/>
            <w:vAlign w:val="top"/>
          </w:tcPr>
          <w:p w14:paraId="79B8D3BA">
            <w:pPr>
              <w:pStyle w:val="8"/>
              <w:spacing w:before="150"/>
              <w:ind w:left="170"/>
              <w:jc w:val="both"/>
              <w:rPr>
                <w:b/>
                <w:color w:val="auto"/>
                <w:sz w:val="21"/>
              </w:rPr>
            </w:pPr>
            <w:r>
              <w:rPr>
                <w:b/>
                <w:color w:val="auto"/>
                <w:sz w:val="21"/>
              </w:rPr>
              <w:t>裁量等级</w:t>
            </w:r>
          </w:p>
        </w:tc>
        <w:tc>
          <w:tcPr>
            <w:tcW w:w="2716" w:type="dxa"/>
            <w:vAlign w:val="top"/>
          </w:tcPr>
          <w:p w14:paraId="6FC0B4A0">
            <w:pPr>
              <w:pStyle w:val="8"/>
              <w:spacing w:before="150"/>
              <w:ind w:left="107"/>
              <w:jc w:val="both"/>
              <w:rPr>
                <w:b/>
                <w:color w:val="auto"/>
                <w:sz w:val="21"/>
              </w:rPr>
            </w:pPr>
            <w:r>
              <w:rPr>
                <w:b/>
                <w:color w:val="auto"/>
                <w:sz w:val="21"/>
              </w:rPr>
              <w:t>减轻</w:t>
            </w:r>
          </w:p>
        </w:tc>
        <w:tc>
          <w:tcPr>
            <w:tcW w:w="2715" w:type="dxa"/>
            <w:vAlign w:val="top"/>
          </w:tcPr>
          <w:p w14:paraId="583D36B0">
            <w:pPr>
              <w:pStyle w:val="8"/>
              <w:spacing w:before="150"/>
              <w:ind w:left="106"/>
              <w:jc w:val="both"/>
              <w:rPr>
                <w:b/>
                <w:color w:val="auto"/>
                <w:sz w:val="21"/>
              </w:rPr>
            </w:pPr>
            <w:r>
              <w:rPr>
                <w:b/>
                <w:color w:val="auto"/>
                <w:sz w:val="21"/>
              </w:rPr>
              <w:t>从轻</w:t>
            </w:r>
          </w:p>
        </w:tc>
        <w:tc>
          <w:tcPr>
            <w:tcW w:w="2718" w:type="dxa"/>
            <w:vAlign w:val="top"/>
          </w:tcPr>
          <w:p w14:paraId="75E2BD52">
            <w:pPr>
              <w:pStyle w:val="8"/>
              <w:spacing w:before="150"/>
              <w:ind w:left="105"/>
              <w:jc w:val="both"/>
              <w:rPr>
                <w:b/>
                <w:color w:val="auto"/>
                <w:sz w:val="21"/>
              </w:rPr>
            </w:pPr>
            <w:r>
              <w:rPr>
                <w:b/>
                <w:color w:val="auto"/>
                <w:sz w:val="21"/>
              </w:rPr>
              <w:t>一般</w:t>
            </w:r>
          </w:p>
        </w:tc>
        <w:tc>
          <w:tcPr>
            <w:tcW w:w="3901" w:type="dxa"/>
            <w:vAlign w:val="top"/>
          </w:tcPr>
          <w:p w14:paraId="618B04B2">
            <w:pPr>
              <w:pStyle w:val="8"/>
              <w:spacing w:before="150"/>
              <w:ind w:left="102"/>
              <w:jc w:val="both"/>
              <w:rPr>
                <w:b/>
                <w:color w:val="auto"/>
                <w:sz w:val="21"/>
              </w:rPr>
            </w:pPr>
            <w:r>
              <w:rPr>
                <w:b/>
                <w:color w:val="auto"/>
                <w:sz w:val="21"/>
              </w:rPr>
              <w:t>从重</w:t>
            </w:r>
          </w:p>
        </w:tc>
      </w:tr>
      <w:tr w14:paraId="09AF5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01E9F461">
            <w:pPr>
              <w:jc w:val="both"/>
              <w:rPr>
                <w:color w:val="auto"/>
                <w:sz w:val="2"/>
                <w:szCs w:val="2"/>
              </w:rPr>
            </w:pPr>
          </w:p>
        </w:tc>
        <w:tc>
          <w:tcPr>
            <w:tcW w:w="1184" w:type="dxa"/>
            <w:gridSpan w:val="2"/>
            <w:vAlign w:val="top"/>
          </w:tcPr>
          <w:p w14:paraId="6751A66D">
            <w:pPr>
              <w:pStyle w:val="8"/>
              <w:spacing w:before="3"/>
              <w:jc w:val="both"/>
              <w:rPr>
                <w:rFonts w:ascii="Times New Roman"/>
                <w:color w:val="auto"/>
                <w:sz w:val="20"/>
              </w:rPr>
            </w:pPr>
          </w:p>
          <w:p w14:paraId="45C16624">
            <w:pPr>
              <w:pStyle w:val="8"/>
              <w:spacing w:before="1"/>
              <w:ind w:left="170"/>
              <w:jc w:val="both"/>
              <w:rPr>
                <w:b/>
                <w:color w:val="auto"/>
                <w:sz w:val="21"/>
              </w:rPr>
            </w:pPr>
            <w:r>
              <w:rPr>
                <w:b/>
                <w:color w:val="auto"/>
                <w:sz w:val="21"/>
              </w:rPr>
              <w:t>裁量情节</w:t>
            </w:r>
          </w:p>
        </w:tc>
        <w:tc>
          <w:tcPr>
            <w:tcW w:w="2716" w:type="dxa"/>
            <w:vAlign w:val="top"/>
          </w:tcPr>
          <w:p w14:paraId="07BCCB0A">
            <w:pPr>
              <w:pStyle w:val="8"/>
              <w:spacing w:before="97" w:line="242" w:lineRule="auto"/>
              <w:ind w:left="107" w:right="99"/>
              <w:jc w:val="both"/>
              <w:rPr>
                <w:color w:val="auto"/>
                <w:sz w:val="21"/>
              </w:rPr>
            </w:pPr>
            <w:r>
              <w:rPr>
                <w:color w:val="auto"/>
                <w:sz w:val="21"/>
              </w:rPr>
              <w:t>符合裁量规定减轻行政处罚情形的。</w:t>
            </w:r>
          </w:p>
        </w:tc>
        <w:tc>
          <w:tcPr>
            <w:tcW w:w="2715" w:type="dxa"/>
            <w:vAlign w:val="top"/>
          </w:tcPr>
          <w:p w14:paraId="0CD847B3">
            <w:pPr>
              <w:pStyle w:val="8"/>
              <w:spacing w:before="97" w:line="242" w:lineRule="auto"/>
              <w:ind w:left="106" w:right="97"/>
              <w:jc w:val="both"/>
              <w:rPr>
                <w:color w:val="auto"/>
                <w:sz w:val="21"/>
              </w:rPr>
            </w:pPr>
            <w:r>
              <w:rPr>
                <w:color w:val="auto"/>
                <w:sz w:val="21"/>
              </w:rPr>
              <w:t>符合裁量规定从轻行政处罚情形的。</w:t>
            </w:r>
          </w:p>
        </w:tc>
        <w:tc>
          <w:tcPr>
            <w:tcW w:w="2718" w:type="dxa"/>
            <w:vAlign w:val="top"/>
          </w:tcPr>
          <w:p w14:paraId="3C846EEA">
            <w:pPr>
              <w:pStyle w:val="8"/>
              <w:spacing w:before="97" w:line="242" w:lineRule="auto"/>
              <w:ind w:left="105" w:right="101"/>
              <w:jc w:val="both"/>
              <w:rPr>
                <w:color w:val="auto"/>
                <w:sz w:val="21"/>
              </w:rPr>
            </w:pPr>
            <w:r>
              <w:rPr>
                <w:color w:val="auto"/>
                <w:sz w:val="21"/>
              </w:rPr>
              <w:t>符合裁量规定一般行政处罚情形的。</w:t>
            </w:r>
          </w:p>
        </w:tc>
        <w:tc>
          <w:tcPr>
            <w:tcW w:w="3901" w:type="dxa"/>
            <w:vAlign w:val="top"/>
          </w:tcPr>
          <w:p w14:paraId="7AF76CAE">
            <w:pPr>
              <w:pStyle w:val="8"/>
              <w:spacing w:before="3"/>
              <w:jc w:val="both"/>
              <w:rPr>
                <w:rFonts w:ascii="Times New Roman"/>
                <w:color w:val="auto"/>
                <w:sz w:val="20"/>
              </w:rPr>
            </w:pPr>
          </w:p>
          <w:p w14:paraId="207F18B0">
            <w:pPr>
              <w:pStyle w:val="8"/>
              <w:spacing w:before="1"/>
              <w:ind w:left="102"/>
              <w:jc w:val="both"/>
              <w:rPr>
                <w:color w:val="auto"/>
                <w:sz w:val="21"/>
              </w:rPr>
            </w:pPr>
            <w:r>
              <w:rPr>
                <w:color w:val="auto"/>
                <w:sz w:val="21"/>
              </w:rPr>
              <w:t>符合裁量规定从重行政处罚情形的。</w:t>
            </w:r>
          </w:p>
        </w:tc>
      </w:tr>
      <w:tr w14:paraId="16633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73EE2845">
            <w:pPr>
              <w:jc w:val="both"/>
              <w:rPr>
                <w:color w:val="auto"/>
                <w:sz w:val="2"/>
                <w:szCs w:val="2"/>
              </w:rPr>
            </w:pPr>
          </w:p>
        </w:tc>
        <w:tc>
          <w:tcPr>
            <w:tcW w:w="593" w:type="dxa"/>
            <w:vMerge w:val="restart"/>
            <w:vAlign w:val="top"/>
          </w:tcPr>
          <w:p w14:paraId="7AA0894E">
            <w:pPr>
              <w:pStyle w:val="8"/>
              <w:jc w:val="both"/>
              <w:rPr>
                <w:rFonts w:ascii="Times New Roman"/>
                <w:color w:val="auto"/>
                <w:sz w:val="20"/>
              </w:rPr>
            </w:pPr>
          </w:p>
          <w:p w14:paraId="3BAA6B9A">
            <w:pPr>
              <w:pStyle w:val="8"/>
              <w:jc w:val="both"/>
              <w:rPr>
                <w:rFonts w:ascii="Times New Roman"/>
                <w:color w:val="auto"/>
                <w:sz w:val="20"/>
              </w:rPr>
            </w:pPr>
          </w:p>
          <w:p w14:paraId="0F53DE28">
            <w:pPr>
              <w:pStyle w:val="8"/>
              <w:jc w:val="both"/>
              <w:rPr>
                <w:rFonts w:ascii="Times New Roman"/>
                <w:color w:val="auto"/>
                <w:sz w:val="20"/>
              </w:rPr>
            </w:pPr>
          </w:p>
          <w:p w14:paraId="75C8609F">
            <w:pPr>
              <w:pStyle w:val="8"/>
              <w:jc w:val="both"/>
              <w:rPr>
                <w:rFonts w:ascii="Times New Roman"/>
                <w:color w:val="auto"/>
                <w:sz w:val="20"/>
              </w:rPr>
            </w:pPr>
          </w:p>
          <w:p w14:paraId="6989CD27">
            <w:pPr>
              <w:pStyle w:val="8"/>
              <w:jc w:val="both"/>
              <w:rPr>
                <w:rFonts w:ascii="Times New Roman"/>
                <w:color w:val="auto"/>
                <w:sz w:val="20"/>
              </w:rPr>
            </w:pPr>
          </w:p>
          <w:p w14:paraId="273392E9">
            <w:pPr>
              <w:pStyle w:val="8"/>
              <w:spacing w:before="11"/>
              <w:jc w:val="both"/>
              <w:rPr>
                <w:rFonts w:ascii="Times New Roman"/>
                <w:color w:val="auto"/>
                <w:sz w:val="15"/>
              </w:rPr>
            </w:pPr>
          </w:p>
          <w:p w14:paraId="1D25D4A6">
            <w:pPr>
              <w:pStyle w:val="8"/>
              <w:spacing w:line="242" w:lineRule="auto"/>
              <w:ind w:left="189" w:right="180"/>
              <w:jc w:val="both"/>
              <w:rPr>
                <w:b/>
                <w:color w:val="auto"/>
                <w:sz w:val="21"/>
              </w:rPr>
            </w:pPr>
            <w:r>
              <w:rPr>
                <w:b/>
                <w:color w:val="auto"/>
                <w:sz w:val="21"/>
              </w:rPr>
              <w:t>裁量基准</w:t>
            </w:r>
          </w:p>
        </w:tc>
        <w:tc>
          <w:tcPr>
            <w:tcW w:w="591" w:type="dxa"/>
            <w:vAlign w:val="top"/>
          </w:tcPr>
          <w:p w14:paraId="510EA789">
            <w:pPr>
              <w:pStyle w:val="8"/>
              <w:jc w:val="both"/>
              <w:rPr>
                <w:rFonts w:ascii="Times New Roman"/>
                <w:color w:val="auto"/>
                <w:sz w:val="20"/>
              </w:rPr>
            </w:pPr>
          </w:p>
          <w:p w14:paraId="3E748ABA">
            <w:pPr>
              <w:pStyle w:val="8"/>
              <w:spacing w:before="162" w:line="242" w:lineRule="auto"/>
              <w:ind w:left="186" w:right="182"/>
              <w:jc w:val="both"/>
              <w:rPr>
                <w:b/>
                <w:color w:val="auto"/>
                <w:sz w:val="21"/>
              </w:rPr>
            </w:pPr>
            <w:r>
              <w:rPr>
                <w:b/>
                <w:color w:val="auto"/>
                <w:sz w:val="21"/>
              </w:rPr>
              <w:t>一般情形</w:t>
            </w:r>
          </w:p>
        </w:tc>
        <w:tc>
          <w:tcPr>
            <w:tcW w:w="2716" w:type="dxa"/>
            <w:vAlign w:val="top"/>
          </w:tcPr>
          <w:p w14:paraId="439E3A95">
            <w:pPr>
              <w:pStyle w:val="8"/>
              <w:jc w:val="both"/>
              <w:rPr>
                <w:rFonts w:ascii="Times New Roman"/>
                <w:color w:val="auto"/>
                <w:sz w:val="20"/>
              </w:rPr>
            </w:pPr>
          </w:p>
        </w:tc>
        <w:tc>
          <w:tcPr>
            <w:tcW w:w="2715" w:type="dxa"/>
            <w:vAlign w:val="top"/>
          </w:tcPr>
          <w:p w14:paraId="727F0AAE">
            <w:pPr>
              <w:pStyle w:val="8"/>
              <w:spacing w:before="2"/>
              <w:jc w:val="both"/>
              <w:rPr>
                <w:rFonts w:ascii="Times New Roman"/>
                <w:color w:val="auto"/>
                <w:sz w:val="22"/>
              </w:rPr>
            </w:pPr>
          </w:p>
          <w:p w14:paraId="484E6242">
            <w:pPr>
              <w:pStyle w:val="8"/>
              <w:ind w:left="106"/>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1464CA52">
            <w:pPr>
              <w:pStyle w:val="8"/>
              <w:spacing w:before="5"/>
              <w:ind w:left="106"/>
              <w:jc w:val="both"/>
              <w:rPr>
                <w:color w:val="auto"/>
                <w:sz w:val="21"/>
              </w:rPr>
            </w:pPr>
            <w:r>
              <w:rPr>
                <w:color w:val="auto"/>
                <w:spacing w:val="-28"/>
                <w:sz w:val="21"/>
              </w:rPr>
              <w:t xml:space="preserve">处 </w:t>
            </w:r>
            <w:r>
              <w:rPr>
                <w:color w:val="auto"/>
                <w:sz w:val="21"/>
              </w:rPr>
              <w:t>1</w:t>
            </w:r>
            <w:r>
              <w:rPr>
                <w:color w:val="auto"/>
                <w:spacing w:val="-21"/>
                <w:sz w:val="21"/>
              </w:rPr>
              <w:t xml:space="preserve"> 万元以上 </w:t>
            </w:r>
            <w:r>
              <w:rPr>
                <w:color w:val="auto"/>
                <w:sz w:val="21"/>
              </w:rPr>
              <w:t>1.6</w:t>
            </w:r>
            <w:r>
              <w:rPr>
                <w:color w:val="auto"/>
                <w:spacing w:val="-13"/>
                <w:sz w:val="21"/>
              </w:rPr>
              <w:t xml:space="preserve"> 万元以下</w:t>
            </w:r>
          </w:p>
          <w:p w14:paraId="1807219B">
            <w:pPr>
              <w:pStyle w:val="8"/>
              <w:spacing w:before="2"/>
              <w:ind w:left="106"/>
              <w:jc w:val="both"/>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14:paraId="3C2EE0B9">
            <w:pPr>
              <w:pStyle w:val="8"/>
              <w:spacing w:before="5"/>
              <w:ind w:left="106"/>
              <w:jc w:val="both"/>
              <w:rPr>
                <w:color w:val="auto"/>
                <w:sz w:val="21"/>
              </w:rPr>
            </w:pPr>
            <w:r>
              <w:rPr>
                <w:color w:val="auto"/>
                <w:spacing w:val="-11"/>
                <w:sz w:val="21"/>
              </w:rPr>
              <w:t xml:space="preserve">的，并处货值金额 </w:t>
            </w:r>
            <w:r>
              <w:rPr>
                <w:color w:val="auto"/>
                <w:sz w:val="21"/>
              </w:rPr>
              <w:t>3</w:t>
            </w:r>
            <w:r>
              <w:rPr>
                <w:color w:val="auto"/>
                <w:spacing w:val="-14"/>
                <w:sz w:val="21"/>
              </w:rPr>
              <w:t xml:space="preserve"> 倍以上</w:t>
            </w:r>
          </w:p>
          <w:p w14:paraId="1B33AFF4">
            <w:pPr>
              <w:pStyle w:val="8"/>
              <w:spacing w:before="2"/>
              <w:ind w:left="106"/>
              <w:jc w:val="both"/>
              <w:rPr>
                <w:color w:val="auto"/>
                <w:sz w:val="21"/>
              </w:rPr>
            </w:pPr>
            <w:r>
              <w:rPr>
                <w:color w:val="auto"/>
                <w:sz w:val="21"/>
              </w:rPr>
              <w:t>5.1 倍以下罚款。</w:t>
            </w:r>
          </w:p>
        </w:tc>
        <w:tc>
          <w:tcPr>
            <w:tcW w:w="2718" w:type="dxa"/>
            <w:vAlign w:val="top"/>
          </w:tcPr>
          <w:p w14:paraId="53B4E8A3">
            <w:pPr>
              <w:pStyle w:val="8"/>
              <w:spacing w:before="2"/>
              <w:jc w:val="both"/>
              <w:rPr>
                <w:rFonts w:ascii="Times New Roman"/>
                <w:color w:val="auto"/>
                <w:sz w:val="22"/>
              </w:rPr>
            </w:pPr>
          </w:p>
          <w:p w14:paraId="6056AAD1">
            <w:pPr>
              <w:pStyle w:val="8"/>
              <w:ind w:left="105"/>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14:paraId="6BFF4081">
            <w:pPr>
              <w:pStyle w:val="8"/>
              <w:spacing w:before="5"/>
              <w:ind w:left="105"/>
              <w:jc w:val="both"/>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6"/>
                <w:sz w:val="21"/>
              </w:rPr>
              <w:t xml:space="preserve"> 万元以</w:t>
            </w:r>
          </w:p>
          <w:p w14:paraId="74734F2A">
            <w:pPr>
              <w:pStyle w:val="8"/>
              <w:spacing w:before="2"/>
              <w:ind w:left="105"/>
              <w:jc w:val="both"/>
              <w:rPr>
                <w:color w:val="auto"/>
                <w:sz w:val="21"/>
              </w:rPr>
            </w:pPr>
            <w:r>
              <w:rPr>
                <w:color w:val="auto"/>
                <w:spacing w:val="-11"/>
                <w:sz w:val="21"/>
              </w:rPr>
              <w:t xml:space="preserve">下罚款；货值金额 </w:t>
            </w:r>
            <w:r>
              <w:rPr>
                <w:color w:val="auto"/>
                <w:sz w:val="21"/>
              </w:rPr>
              <w:t>1</w:t>
            </w:r>
            <w:r>
              <w:rPr>
                <w:color w:val="auto"/>
                <w:spacing w:val="-14"/>
                <w:sz w:val="21"/>
              </w:rPr>
              <w:t xml:space="preserve"> 万元以</w:t>
            </w:r>
          </w:p>
          <w:p w14:paraId="25B8141F">
            <w:pPr>
              <w:pStyle w:val="8"/>
              <w:spacing w:before="5"/>
              <w:ind w:left="105"/>
              <w:jc w:val="both"/>
              <w:rPr>
                <w:color w:val="auto"/>
                <w:sz w:val="21"/>
              </w:rPr>
            </w:pPr>
            <w:r>
              <w:rPr>
                <w:color w:val="auto"/>
                <w:spacing w:val="-11"/>
                <w:sz w:val="21"/>
              </w:rPr>
              <w:t xml:space="preserve">上的，并处货值金额 </w:t>
            </w:r>
            <w:r>
              <w:rPr>
                <w:color w:val="auto"/>
                <w:sz w:val="21"/>
              </w:rPr>
              <w:t>5.1</w:t>
            </w:r>
            <w:r>
              <w:rPr>
                <w:color w:val="auto"/>
                <w:spacing w:val="-24"/>
                <w:sz w:val="21"/>
              </w:rPr>
              <w:t xml:space="preserve"> 倍</w:t>
            </w:r>
          </w:p>
          <w:p w14:paraId="00D1275C">
            <w:pPr>
              <w:pStyle w:val="8"/>
              <w:spacing w:before="2"/>
              <w:ind w:left="105"/>
              <w:jc w:val="both"/>
              <w:rPr>
                <w:color w:val="auto"/>
                <w:sz w:val="21"/>
              </w:rPr>
            </w:pPr>
            <w:r>
              <w:rPr>
                <w:color w:val="auto"/>
                <w:sz w:val="21"/>
              </w:rPr>
              <w:t>以上 7.9 倍以下罚款。</w:t>
            </w:r>
          </w:p>
        </w:tc>
        <w:tc>
          <w:tcPr>
            <w:tcW w:w="3901" w:type="dxa"/>
            <w:vAlign w:val="top"/>
          </w:tcPr>
          <w:p w14:paraId="3DA8A912">
            <w:pPr>
              <w:pStyle w:val="8"/>
              <w:jc w:val="both"/>
              <w:rPr>
                <w:rFonts w:ascii="Times New Roman"/>
                <w:color w:val="auto"/>
                <w:sz w:val="20"/>
              </w:rPr>
            </w:pPr>
          </w:p>
          <w:p w14:paraId="077E9051">
            <w:pPr>
              <w:pStyle w:val="8"/>
              <w:spacing w:before="162"/>
              <w:ind w:left="102"/>
              <w:jc w:val="both"/>
              <w:rPr>
                <w:color w:val="auto"/>
                <w:sz w:val="21"/>
              </w:rPr>
            </w:pPr>
            <w:r>
              <w:rPr>
                <w:color w:val="auto"/>
                <w:spacing w:val="-9"/>
                <w:sz w:val="21"/>
              </w:rPr>
              <w:t xml:space="preserve">已货值金额不足 </w:t>
            </w:r>
            <w:r>
              <w:rPr>
                <w:color w:val="auto"/>
                <w:sz w:val="21"/>
              </w:rPr>
              <w:t>1</w:t>
            </w:r>
            <w:r>
              <w:rPr>
                <w:color w:val="auto"/>
                <w:spacing w:val="-27"/>
                <w:sz w:val="21"/>
              </w:rPr>
              <w:t xml:space="preserve"> 万元的，并处 </w:t>
            </w:r>
            <w:r>
              <w:rPr>
                <w:color w:val="auto"/>
                <w:sz w:val="21"/>
              </w:rPr>
              <w:t>2.4</w:t>
            </w:r>
            <w:r>
              <w:rPr>
                <w:color w:val="auto"/>
                <w:spacing w:val="-19"/>
                <w:sz w:val="21"/>
              </w:rPr>
              <w:t xml:space="preserve"> 万元</w:t>
            </w:r>
          </w:p>
          <w:p w14:paraId="50FDBAA6">
            <w:pPr>
              <w:pStyle w:val="8"/>
              <w:spacing w:before="2"/>
              <w:ind w:left="102"/>
              <w:jc w:val="both"/>
              <w:rPr>
                <w:color w:val="auto"/>
                <w:sz w:val="21"/>
              </w:rPr>
            </w:pPr>
            <w:r>
              <w:rPr>
                <w:color w:val="auto"/>
                <w:spacing w:val="-16"/>
                <w:sz w:val="21"/>
              </w:rPr>
              <w:t xml:space="preserve">以上 </w:t>
            </w:r>
            <w:r>
              <w:rPr>
                <w:color w:val="auto"/>
                <w:sz w:val="21"/>
              </w:rPr>
              <w:t>3</w:t>
            </w:r>
            <w:r>
              <w:rPr>
                <w:color w:val="auto"/>
                <w:spacing w:val="-19"/>
                <w:sz w:val="21"/>
              </w:rPr>
              <w:t xml:space="preserve"> 万元以下罚款；货值金额 </w:t>
            </w:r>
            <w:r>
              <w:rPr>
                <w:color w:val="auto"/>
                <w:sz w:val="21"/>
              </w:rPr>
              <w:t>1</w:t>
            </w:r>
            <w:r>
              <w:rPr>
                <w:color w:val="auto"/>
                <w:spacing w:val="-14"/>
                <w:sz w:val="21"/>
              </w:rPr>
              <w:t xml:space="preserve"> 万元以</w:t>
            </w:r>
          </w:p>
          <w:p w14:paraId="1E80FDC1">
            <w:pPr>
              <w:pStyle w:val="8"/>
              <w:spacing w:before="5" w:line="242" w:lineRule="auto"/>
              <w:ind w:left="102" w:right="99"/>
              <w:jc w:val="both"/>
              <w:rPr>
                <w:color w:val="auto"/>
                <w:sz w:val="21"/>
              </w:rPr>
            </w:pPr>
            <w:r>
              <w:rPr>
                <w:color w:val="auto"/>
                <w:spacing w:val="-8"/>
                <w:sz w:val="21"/>
              </w:rPr>
              <w:t xml:space="preserve">上的，并处货值金额 </w:t>
            </w:r>
            <w:r>
              <w:rPr>
                <w:color w:val="auto"/>
                <w:sz w:val="21"/>
              </w:rPr>
              <w:t>7.9</w:t>
            </w:r>
            <w:r>
              <w:rPr>
                <w:color w:val="auto"/>
                <w:spacing w:val="-21"/>
                <w:sz w:val="21"/>
              </w:rPr>
              <w:t xml:space="preserve"> 倍以上 </w:t>
            </w:r>
            <w:r>
              <w:rPr>
                <w:color w:val="auto"/>
                <w:sz w:val="21"/>
              </w:rPr>
              <w:t>10</w:t>
            </w:r>
            <w:r>
              <w:rPr>
                <w:color w:val="auto"/>
                <w:spacing w:val="-21"/>
                <w:sz w:val="21"/>
              </w:rPr>
              <w:t xml:space="preserve"> 倍以</w:t>
            </w:r>
            <w:r>
              <w:rPr>
                <w:color w:val="auto"/>
                <w:spacing w:val="-1"/>
                <w:sz w:val="21"/>
              </w:rPr>
              <w:t>下罚款。</w:t>
            </w:r>
          </w:p>
        </w:tc>
      </w:tr>
      <w:tr w14:paraId="51F20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562" w:type="dxa"/>
            <w:vMerge w:val="continue"/>
            <w:tcBorders>
              <w:top w:val="nil"/>
            </w:tcBorders>
            <w:vAlign w:val="top"/>
          </w:tcPr>
          <w:p w14:paraId="45FE4C4B">
            <w:pPr>
              <w:jc w:val="both"/>
              <w:rPr>
                <w:color w:val="auto"/>
                <w:sz w:val="2"/>
                <w:szCs w:val="2"/>
              </w:rPr>
            </w:pPr>
          </w:p>
        </w:tc>
        <w:tc>
          <w:tcPr>
            <w:tcW w:w="593" w:type="dxa"/>
            <w:vMerge w:val="continue"/>
            <w:tcBorders>
              <w:top w:val="nil"/>
            </w:tcBorders>
            <w:vAlign w:val="top"/>
          </w:tcPr>
          <w:p w14:paraId="32D261DA">
            <w:pPr>
              <w:jc w:val="both"/>
              <w:rPr>
                <w:color w:val="auto"/>
                <w:sz w:val="2"/>
                <w:szCs w:val="2"/>
              </w:rPr>
            </w:pPr>
          </w:p>
        </w:tc>
        <w:tc>
          <w:tcPr>
            <w:tcW w:w="591" w:type="dxa"/>
            <w:vAlign w:val="top"/>
          </w:tcPr>
          <w:p w14:paraId="373AFFC9">
            <w:pPr>
              <w:pStyle w:val="8"/>
              <w:spacing w:before="2"/>
              <w:jc w:val="both"/>
              <w:rPr>
                <w:rFonts w:ascii="Times New Roman"/>
                <w:color w:val="auto"/>
                <w:sz w:val="22"/>
              </w:rPr>
            </w:pPr>
          </w:p>
          <w:p w14:paraId="4B01A454">
            <w:pPr>
              <w:pStyle w:val="8"/>
              <w:spacing w:line="242" w:lineRule="auto"/>
              <w:ind w:left="186" w:right="182"/>
              <w:jc w:val="both"/>
              <w:rPr>
                <w:b/>
                <w:color w:val="auto"/>
                <w:sz w:val="21"/>
              </w:rPr>
            </w:pPr>
            <w:r>
              <w:rPr>
                <w:b/>
                <w:color w:val="auto"/>
                <w:sz w:val="21"/>
              </w:rPr>
              <w:t>情节严重的</w:t>
            </w:r>
          </w:p>
        </w:tc>
        <w:tc>
          <w:tcPr>
            <w:tcW w:w="2716" w:type="dxa"/>
            <w:vAlign w:val="top"/>
          </w:tcPr>
          <w:p w14:paraId="7B5D0B0D">
            <w:pPr>
              <w:pStyle w:val="8"/>
              <w:jc w:val="both"/>
              <w:rPr>
                <w:rFonts w:ascii="Times New Roman"/>
                <w:color w:val="auto"/>
                <w:sz w:val="20"/>
              </w:rPr>
            </w:pPr>
          </w:p>
        </w:tc>
        <w:tc>
          <w:tcPr>
            <w:tcW w:w="2715" w:type="dxa"/>
            <w:vAlign w:val="top"/>
          </w:tcPr>
          <w:p w14:paraId="0F848C7C">
            <w:pPr>
              <w:pStyle w:val="8"/>
              <w:spacing w:before="118" w:line="242" w:lineRule="auto"/>
              <w:ind w:left="106" w:right="95"/>
              <w:jc w:val="both"/>
              <w:rPr>
                <w:color w:val="auto"/>
                <w:sz w:val="21"/>
              </w:rPr>
            </w:pPr>
            <w:r>
              <w:rPr>
                <w:color w:val="auto"/>
                <w:spacing w:val="13"/>
                <w:sz w:val="21"/>
              </w:rPr>
              <w:t>对法定代表人或者主要负</w:t>
            </w:r>
            <w:r>
              <w:rPr>
                <w:color w:val="auto"/>
                <w:spacing w:val="-7"/>
                <w:sz w:val="21"/>
              </w:rPr>
              <w:t>责人、直接负责的主管人员</w:t>
            </w:r>
            <w:r>
              <w:rPr>
                <w:color w:val="auto"/>
                <w:spacing w:val="13"/>
                <w:sz w:val="21"/>
              </w:rPr>
              <w:t>和其他直接责任人员处以其上一年度从本单位取得</w:t>
            </w:r>
            <w:r>
              <w:rPr>
                <w:color w:val="auto"/>
                <w:spacing w:val="-16"/>
                <w:sz w:val="21"/>
              </w:rPr>
              <w:t xml:space="preserve">收入的 </w:t>
            </w:r>
            <w:r>
              <w:rPr>
                <w:color w:val="auto"/>
                <w:sz w:val="21"/>
              </w:rPr>
              <w:t>1</w:t>
            </w:r>
            <w:r>
              <w:rPr>
                <w:color w:val="auto"/>
                <w:spacing w:val="-24"/>
                <w:sz w:val="21"/>
              </w:rPr>
              <w:t xml:space="preserve"> 倍以上 </w:t>
            </w:r>
            <w:r>
              <w:rPr>
                <w:color w:val="auto"/>
                <w:sz w:val="21"/>
              </w:rPr>
              <w:t>1.3</w:t>
            </w:r>
            <w:r>
              <w:rPr>
                <w:color w:val="auto"/>
                <w:spacing w:val="-19"/>
                <w:sz w:val="21"/>
              </w:rPr>
              <w:t xml:space="preserve"> 倍以下</w:t>
            </w:r>
            <w:r>
              <w:rPr>
                <w:color w:val="auto"/>
                <w:sz w:val="21"/>
              </w:rPr>
              <w:t>罚款。</w:t>
            </w:r>
          </w:p>
        </w:tc>
        <w:tc>
          <w:tcPr>
            <w:tcW w:w="2718" w:type="dxa"/>
            <w:vAlign w:val="top"/>
          </w:tcPr>
          <w:p w14:paraId="4875EF70">
            <w:pPr>
              <w:pStyle w:val="8"/>
              <w:spacing w:before="118" w:line="242" w:lineRule="auto"/>
              <w:ind w:left="105" w:right="99"/>
              <w:jc w:val="both"/>
              <w:rPr>
                <w:color w:val="auto"/>
                <w:sz w:val="21"/>
              </w:rPr>
            </w:pPr>
            <w:r>
              <w:rPr>
                <w:color w:val="auto"/>
                <w:spacing w:val="13"/>
                <w:sz w:val="21"/>
              </w:rPr>
              <w:t>对法定代表人或者主要负</w:t>
            </w:r>
            <w:r>
              <w:rPr>
                <w:color w:val="auto"/>
                <w:spacing w:val="-7"/>
                <w:sz w:val="21"/>
              </w:rPr>
              <w:t>责人、直接负责的主管人员</w:t>
            </w:r>
            <w:r>
              <w:rPr>
                <w:color w:val="auto"/>
                <w:spacing w:val="13"/>
                <w:sz w:val="21"/>
              </w:rPr>
              <w:t>和其他直接责任人员处以其上一年度从本单位取得</w:t>
            </w:r>
            <w:r>
              <w:rPr>
                <w:color w:val="auto"/>
                <w:spacing w:val="-16"/>
                <w:sz w:val="21"/>
              </w:rPr>
              <w:t xml:space="preserve">收入的 </w:t>
            </w:r>
            <w:r>
              <w:rPr>
                <w:color w:val="auto"/>
                <w:sz w:val="21"/>
              </w:rPr>
              <w:t>1.3</w:t>
            </w:r>
            <w:r>
              <w:rPr>
                <w:color w:val="auto"/>
                <w:spacing w:val="-24"/>
                <w:sz w:val="21"/>
              </w:rPr>
              <w:t xml:space="preserve"> 倍以上 </w:t>
            </w:r>
            <w:r>
              <w:rPr>
                <w:color w:val="auto"/>
                <w:sz w:val="21"/>
              </w:rPr>
              <w:t>1.7</w:t>
            </w:r>
            <w:r>
              <w:rPr>
                <w:color w:val="auto"/>
                <w:spacing w:val="-21"/>
                <w:sz w:val="21"/>
              </w:rPr>
              <w:t xml:space="preserve"> 倍以</w:t>
            </w:r>
            <w:r>
              <w:rPr>
                <w:color w:val="auto"/>
                <w:sz w:val="21"/>
              </w:rPr>
              <w:t>下罚款。</w:t>
            </w:r>
          </w:p>
        </w:tc>
        <w:tc>
          <w:tcPr>
            <w:tcW w:w="3901" w:type="dxa"/>
            <w:vAlign w:val="top"/>
          </w:tcPr>
          <w:p w14:paraId="44FA4112">
            <w:pPr>
              <w:pStyle w:val="8"/>
              <w:jc w:val="both"/>
              <w:rPr>
                <w:rFonts w:ascii="Times New Roman"/>
                <w:color w:val="auto"/>
                <w:sz w:val="20"/>
              </w:rPr>
            </w:pPr>
          </w:p>
          <w:p w14:paraId="5FEEA935">
            <w:pPr>
              <w:pStyle w:val="8"/>
              <w:spacing w:before="162" w:line="242" w:lineRule="auto"/>
              <w:ind w:left="102" w:right="97"/>
              <w:jc w:val="both"/>
              <w:rPr>
                <w:color w:val="auto"/>
                <w:sz w:val="21"/>
              </w:rPr>
            </w:pPr>
            <w:r>
              <w:rPr>
                <w:color w:val="auto"/>
                <w:spacing w:val="-11"/>
                <w:sz w:val="21"/>
              </w:rPr>
              <w:t>对法定代表人或者主要负责人、直接负责</w:t>
            </w:r>
            <w:r>
              <w:rPr>
                <w:color w:val="auto"/>
                <w:spacing w:val="3"/>
                <w:sz w:val="21"/>
              </w:rPr>
              <w:t>的主管人员和其他直接责任人员处以其</w:t>
            </w:r>
            <w:r>
              <w:rPr>
                <w:color w:val="auto"/>
                <w:spacing w:val="-2"/>
                <w:sz w:val="21"/>
              </w:rPr>
              <w:t xml:space="preserve">上一年度从本单位取得收入的 </w:t>
            </w:r>
            <w:r>
              <w:rPr>
                <w:color w:val="auto"/>
                <w:sz w:val="21"/>
              </w:rPr>
              <w:t>1.7</w:t>
            </w:r>
            <w:r>
              <w:rPr>
                <w:color w:val="auto"/>
                <w:spacing w:val="-2"/>
                <w:sz w:val="21"/>
              </w:rPr>
              <w:t xml:space="preserve"> 倍以</w:t>
            </w:r>
          </w:p>
          <w:p w14:paraId="060AB115">
            <w:pPr>
              <w:pStyle w:val="8"/>
              <w:spacing w:before="1"/>
              <w:ind w:left="102"/>
              <w:jc w:val="both"/>
              <w:rPr>
                <w:color w:val="auto"/>
                <w:sz w:val="21"/>
              </w:rPr>
            </w:pPr>
            <w:r>
              <w:rPr>
                <w:color w:val="auto"/>
                <w:sz w:val="21"/>
              </w:rPr>
              <w:t>上 2 倍以下罚款。</w:t>
            </w:r>
          </w:p>
        </w:tc>
      </w:tr>
    </w:tbl>
    <w:p w14:paraId="59D09042">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67"/>
        <w:gridCol w:w="516"/>
        <w:gridCol w:w="2715"/>
        <w:gridCol w:w="2714"/>
        <w:gridCol w:w="2717"/>
        <w:gridCol w:w="3900"/>
      </w:tblGrid>
      <w:tr w14:paraId="425AF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restart"/>
            <w:vAlign w:val="top"/>
          </w:tcPr>
          <w:p w14:paraId="731E8A19">
            <w:pPr>
              <w:pStyle w:val="8"/>
              <w:jc w:val="both"/>
              <w:rPr>
                <w:rFonts w:ascii="Times New Roman"/>
                <w:color w:val="auto"/>
                <w:sz w:val="20"/>
              </w:rPr>
            </w:pPr>
          </w:p>
          <w:p w14:paraId="63774A2F">
            <w:pPr>
              <w:pStyle w:val="8"/>
              <w:jc w:val="both"/>
              <w:rPr>
                <w:rFonts w:ascii="Times New Roman"/>
                <w:color w:val="auto"/>
                <w:sz w:val="20"/>
              </w:rPr>
            </w:pPr>
          </w:p>
          <w:p w14:paraId="7C617C83">
            <w:pPr>
              <w:pStyle w:val="8"/>
              <w:jc w:val="both"/>
              <w:rPr>
                <w:rFonts w:ascii="Times New Roman"/>
                <w:color w:val="auto"/>
                <w:sz w:val="20"/>
              </w:rPr>
            </w:pPr>
          </w:p>
          <w:p w14:paraId="05D0D863">
            <w:pPr>
              <w:pStyle w:val="8"/>
              <w:jc w:val="both"/>
              <w:rPr>
                <w:rFonts w:ascii="Times New Roman"/>
                <w:color w:val="auto"/>
                <w:sz w:val="20"/>
              </w:rPr>
            </w:pPr>
          </w:p>
          <w:p w14:paraId="0B3FA3BA">
            <w:pPr>
              <w:pStyle w:val="8"/>
              <w:jc w:val="both"/>
              <w:rPr>
                <w:rFonts w:ascii="Times New Roman"/>
                <w:color w:val="auto"/>
                <w:sz w:val="20"/>
              </w:rPr>
            </w:pPr>
          </w:p>
          <w:p w14:paraId="0D326A90">
            <w:pPr>
              <w:pStyle w:val="8"/>
              <w:jc w:val="both"/>
              <w:rPr>
                <w:rFonts w:ascii="Times New Roman"/>
                <w:color w:val="auto"/>
                <w:sz w:val="20"/>
              </w:rPr>
            </w:pPr>
          </w:p>
          <w:p w14:paraId="50EC7F71">
            <w:pPr>
              <w:pStyle w:val="8"/>
              <w:jc w:val="both"/>
              <w:rPr>
                <w:rFonts w:ascii="Times New Roman"/>
                <w:color w:val="auto"/>
                <w:sz w:val="20"/>
              </w:rPr>
            </w:pPr>
          </w:p>
          <w:p w14:paraId="2482D422">
            <w:pPr>
              <w:pStyle w:val="8"/>
              <w:jc w:val="both"/>
              <w:rPr>
                <w:rFonts w:ascii="Times New Roman"/>
                <w:color w:val="auto"/>
                <w:sz w:val="20"/>
              </w:rPr>
            </w:pPr>
          </w:p>
          <w:p w14:paraId="7EE5BD92">
            <w:pPr>
              <w:pStyle w:val="8"/>
              <w:jc w:val="both"/>
              <w:rPr>
                <w:rFonts w:ascii="Times New Roman"/>
                <w:color w:val="auto"/>
                <w:sz w:val="20"/>
              </w:rPr>
            </w:pPr>
          </w:p>
          <w:p w14:paraId="0A5A56B1">
            <w:pPr>
              <w:pStyle w:val="8"/>
              <w:jc w:val="both"/>
              <w:rPr>
                <w:rFonts w:ascii="Times New Roman"/>
                <w:color w:val="auto"/>
                <w:sz w:val="20"/>
              </w:rPr>
            </w:pPr>
          </w:p>
          <w:p w14:paraId="1DB0E440">
            <w:pPr>
              <w:pStyle w:val="8"/>
              <w:jc w:val="both"/>
              <w:rPr>
                <w:rFonts w:ascii="Times New Roman"/>
                <w:color w:val="auto"/>
                <w:sz w:val="20"/>
              </w:rPr>
            </w:pPr>
          </w:p>
          <w:p w14:paraId="543F463C">
            <w:pPr>
              <w:pStyle w:val="8"/>
              <w:jc w:val="both"/>
              <w:rPr>
                <w:rFonts w:ascii="Times New Roman"/>
                <w:color w:val="auto"/>
                <w:sz w:val="20"/>
              </w:rPr>
            </w:pPr>
          </w:p>
          <w:p w14:paraId="1AFA739C">
            <w:pPr>
              <w:pStyle w:val="8"/>
              <w:jc w:val="both"/>
              <w:rPr>
                <w:rFonts w:ascii="Times New Roman"/>
                <w:color w:val="auto"/>
                <w:sz w:val="20"/>
              </w:rPr>
            </w:pPr>
          </w:p>
          <w:p w14:paraId="460D449B">
            <w:pPr>
              <w:pStyle w:val="8"/>
              <w:jc w:val="both"/>
              <w:rPr>
                <w:rFonts w:ascii="Times New Roman"/>
                <w:color w:val="auto"/>
                <w:sz w:val="20"/>
              </w:rPr>
            </w:pPr>
          </w:p>
          <w:p w14:paraId="5B6109F7">
            <w:pPr>
              <w:pStyle w:val="8"/>
              <w:jc w:val="both"/>
              <w:rPr>
                <w:rFonts w:ascii="Times New Roman"/>
                <w:color w:val="auto"/>
                <w:sz w:val="20"/>
              </w:rPr>
            </w:pPr>
          </w:p>
          <w:p w14:paraId="2880AEE2">
            <w:pPr>
              <w:pStyle w:val="8"/>
              <w:spacing w:before="4"/>
              <w:jc w:val="both"/>
              <w:rPr>
                <w:rFonts w:ascii="Times New Roman"/>
                <w:color w:val="auto"/>
                <w:sz w:val="18"/>
              </w:rPr>
            </w:pPr>
          </w:p>
          <w:p w14:paraId="30676A92">
            <w:pPr>
              <w:pStyle w:val="8"/>
              <w:spacing w:before="1"/>
              <w:ind w:left="9"/>
              <w:jc w:val="center"/>
              <w:rPr>
                <w:b/>
                <w:color w:val="auto"/>
                <w:sz w:val="21"/>
              </w:rPr>
            </w:pPr>
            <w:r>
              <w:rPr>
                <w:b w:val="0"/>
                <w:bCs/>
                <w:color w:val="auto"/>
                <w:w w:val="99"/>
                <w:sz w:val="21"/>
              </w:rPr>
              <w:t>9</w:t>
            </w:r>
          </w:p>
        </w:tc>
        <w:tc>
          <w:tcPr>
            <w:tcW w:w="1183" w:type="dxa"/>
            <w:gridSpan w:val="2"/>
            <w:vAlign w:val="top"/>
          </w:tcPr>
          <w:p w14:paraId="10C044D3">
            <w:pPr>
              <w:pStyle w:val="8"/>
              <w:spacing w:before="3"/>
              <w:jc w:val="both"/>
              <w:rPr>
                <w:rFonts w:ascii="Times New Roman"/>
                <w:color w:val="auto"/>
                <w:sz w:val="20"/>
              </w:rPr>
            </w:pPr>
          </w:p>
          <w:p w14:paraId="49A30D55">
            <w:pPr>
              <w:pStyle w:val="8"/>
              <w:spacing w:before="1"/>
              <w:ind w:left="170"/>
              <w:jc w:val="both"/>
              <w:rPr>
                <w:b/>
                <w:color w:val="auto"/>
                <w:sz w:val="21"/>
              </w:rPr>
            </w:pPr>
            <w:r>
              <w:rPr>
                <w:b/>
                <w:color w:val="auto"/>
                <w:sz w:val="21"/>
              </w:rPr>
              <w:t>违法行为</w:t>
            </w:r>
          </w:p>
        </w:tc>
        <w:tc>
          <w:tcPr>
            <w:tcW w:w="12046" w:type="dxa"/>
            <w:gridSpan w:val="4"/>
            <w:vAlign w:val="top"/>
          </w:tcPr>
          <w:p w14:paraId="37EECA2B">
            <w:pPr>
              <w:pStyle w:val="8"/>
              <w:spacing w:before="3"/>
              <w:jc w:val="both"/>
              <w:rPr>
                <w:rFonts w:ascii="Times New Roman"/>
                <w:color w:val="auto"/>
                <w:sz w:val="20"/>
              </w:rPr>
            </w:pPr>
          </w:p>
          <w:p w14:paraId="775AF5CC">
            <w:pPr>
              <w:pStyle w:val="8"/>
              <w:spacing w:before="1"/>
              <w:ind w:left="580"/>
              <w:jc w:val="both"/>
              <w:rPr>
                <w:color w:val="auto"/>
                <w:sz w:val="21"/>
              </w:rPr>
            </w:pPr>
            <w:r>
              <w:rPr>
                <w:color w:val="auto"/>
                <w:sz w:val="21"/>
              </w:rPr>
              <w:t>化妆品集中交易市场开办者、展销会举办者未依照《化妆品监督管理条例》规定履行审查、检查、制止、报告等管理义务的</w:t>
            </w:r>
          </w:p>
        </w:tc>
      </w:tr>
      <w:tr w14:paraId="05C69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2" w:hRule="atLeast"/>
        </w:trPr>
        <w:tc>
          <w:tcPr>
            <w:tcW w:w="562" w:type="dxa"/>
            <w:vMerge w:val="continue"/>
            <w:tcBorders>
              <w:top w:val="nil"/>
            </w:tcBorders>
            <w:vAlign w:val="top"/>
          </w:tcPr>
          <w:p w14:paraId="39D41429">
            <w:pPr>
              <w:jc w:val="both"/>
              <w:rPr>
                <w:color w:val="auto"/>
                <w:sz w:val="2"/>
                <w:szCs w:val="2"/>
              </w:rPr>
            </w:pPr>
          </w:p>
        </w:tc>
        <w:tc>
          <w:tcPr>
            <w:tcW w:w="1183" w:type="dxa"/>
            <w:gridSpan w:val="2"/>
            <w:vAlign w:val="top"/>
          </w:tcPr>
          <w:p w14:paraId="6D411825">
            <w:pPr>
              <w:pStyle w:val="8"/>
              <w:jc w:val="both"/>
              <w:rPr>
                <w:rFonts w:ascii="Times New Roman"/>
                <w:color w:val="auto"/>
                <w:sz w:val="20"/>
              </w:rPr>
            </w:pPr>
          </w:p>
          <w:p w14:paraId="162A1B7C">
            <w:pPr>
              <w:pStyle w:val="8"/>
              <w:spacing w:before="1"/>
              <w:jc w:val="both"/>
              <w:rPr>
                <w:rFonts w:ascii="Times New Roman"/>
                <w:color w:val="auto"/>
                <w:sz w:val="20"/>
              </w:rPr>
            </w:pPr>
          </w:p>
          <w:p w14:paraId="67B3DB5B">
            <w:pPr>
              <w:pStyle w:val="8"/>
              <w:spacing w:before="1"/>
              <w:ind w:left="170"/>
              <w:jc w:val="both"/>
              <w:rPr>
                <w:b/>
                <w:color w:val="auto"/>
                <w:sz w:val="21"/>
              </w:rPr>
            </w:pPr>
            <w:r>
              <w:rPr>
                <w:b/>
                <w:color w:val="auto"/>
                <w:sz w:val="21"/>
              </w:rPr>
              <w:t>处罚依据</w:t>
            </w:r>
          </w:p>
        </w:tc>
        <w:tc>
          <w:tcPr>
            <w:tcW w:w="12046" w:type="dxa"/>
            <w:gridSpan w:val="4"/>
            <w:vAlign w:val="top"/>
          </w:tcPr>
          <w:p w14:paraId="1D95C98E">
            <w:pPr>
              <w:pStyle w:val="8"/>
              <w:spacing w:before="3"/>
              <w:jc w:val="both"/>
              <w:rPr>
                <w:rFonts w:ascii="Times New Roman"/>
                <w:color w:val="auto"/>
                <w:sz w:val="28"/>
              </w:rPr>
            </w:pPr>
          </w:p>
          <w:p w14:paraId="346D47EE">
            <w:pPr>
              <w:pStyle w:val="8"/>
              <w:ind w:left="528"/>
              <w:jc w:val="both"/>
              <w:rPr>
                <w:color w:val="auto"/>
                <w:sz w:val="21"/>
              </w:rPr>
            </w:pPr>
            <w:r>
              <w:rPr>
                <w:color w:val="auto"/>
                <w:spacing w:val="-8"/>
                <w:sz w:val="21"/>
              </w:rPr>
              <w:t xml:space="preserve">根据《化妆品监督管理条例》第六十六条规定，由负责药品监督管理的部门处 </w:t>
            </w:r>
            <w:r>
              <w:rPr>
                <w:color w:val="auto"/>
                <w:sz w:val="21"/>
              </w:rPr>
              <w:t>2</w:t>
            </w:r>
            <w:r>
              <w:rPr>
                <w:color w:val="auto"/>
                <w:spacing w:val="-17"/>
                <w:sz w:val="21"/>
              </w:rPr>
              <w:t xml:space="preserve"> 万元以上 </w:t>
            </w:r>
            <w:r>
              <w:rPr>
                <w:color w:val="auto"/>
                <w:sz w:val="21"/>
              </w:rPr>
              <w:t>10</w:t>
            </w:r>
            <w:r>
              <w:rPr>
                <w:color w:val="auto"/>
                <w:spacing w:val="-9"/>
                <w:sz w:val="21"/>
              </w:rPr>
              <w:t xml:space="preserve"> 万元以下罚款。情节严重的，责</w:t>
            </w:r>
          </w:p>
          <w:p w14:paraId="5A37F0C5">
            <w:pPr>
              <w:pStyle w:val="8"/>
              <w:spacing w:before="4"/>
              <w:ind w:left="108"/>
              <w:jc w:val="both"/>
              <w:rPr>
                <w:color w:val="auto"/>
                <w:sz w:val="21"/>
              </w:rPr>
            </w:pPr>
            <w:r>
              <w:rPr>
                <w:color w:val="auto"/>
                <w:sz w:val="21"/>
              </w:rPr>
              <w:t>令停业，并处 10 万元以上 50 万元以下罚款。</w:t>
            </w:r>
          </w:p>
        </w:tc>
      </w:tr>
      <w:tr w14:paraId="75379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2" w:type="dxa"/>
            <w:vMerge w:val="continue"/>
            <w:tcBorders>
              <w:top w:val="nil"/>
            </w:tcBorders>
            <w:vAlign w:val="top"/>
          </w:tcPr>
          <w:p w14:paraId="042237B5">
            <w:pPr>
              <w:jc w:val="both"/>
              <w:rPr>
                <w:color w:val="auto"/>
                <w:sz w:val="2"/>
                <w:szCs w:val="2"/>
              </w:rPr>
            </w:pPr>
          </w:p>
        </w:tc>
        <w:tc>
          <w:tcPr>
            <w:tcW w:w="1183" w:type="dxa"/>
            <w:gridSpan w:val="2"/>
            <w:vAlign w:val="top"/>
          </w:tcPr>
          <w:p w14:paraId="693397EF">
            <w:pPr>
              <w:pStyle w:val="8"/>
              <w:spacing w:before="147"/>
              <w:ind w:left="170"/>
              <w:jc w:val="both"/>
              <w:rPr>
                <w:b/>
                <w:color w:val="auto"/>
                <w:sz w:val="21"/>
              </w:rPr>
            </w:pPr>
            <w:r>
              <w:rPr>
                <w:b/>
                <w:color w:val="auto"/>
                <w:sz w:val="21"/>
              </w:rPr>
              <w:t>裁量等级</w:t>
            </w:r>
          </w:p>
        </w:tc>
        <w:tc>
          <w:tcPr>
            <w:tcW w:w="2715" w:type="dxa"/>
            <w:vAlign w:val="top"/>
          </w:tcPr>
          <w:p w14:paraId="2A647A12">
            <w:pPr>
              <w:pStyle w:val="8"/>
              <w:spacing w:before="147"/>
              <w:ind w:left="108"/>
              <w:jc w:val="both"/>
              <w:rPr>
                <w:b/>
                <w:color w:val="auto"/>
                <w:sz w:val="21"/>
              </w:rPr>
            </w:pPr>
            <w:r>
              <w:rPr>
                <w:b/>
                <w:color w:val="auto"/>
                <w:sz w:val="21"/>
              </w:rPr>
              <w:t>减轻</w:t>
            </w:r>
          </w:p>
        </w:tc>
        <w:tc>
          <w:tcPr>
            <w:tcW w:w="2714" w:type="dxa"/>
            <w:vAlign w:val="top"/>
          </w:tcPr>
          <w:p w14:paraId="3C3EC05F">
            <w:pPr>
              <w:pStyle w:val="8"/>
              <w:spacing w:before="147"/>
              <w:ind w:left="108"/>
              <w:jc w:val="both"/>
              <w:rPr>
                <w:b/>
                <w:color w:val="auto"/>
                <w:sz w:val="21"/>
              </w:rPr>
            </w:pPr>
            <w:r>
              <w:rPr>
                <w:b/>
                <w:color w:val="auto"/>
                <w:sz w:val="21"/>
              </w:rPr>
              <w:t>从轻</w:t>
            </w:r>
          </w:p>
        </w:tc>
        <w:tc>
          <w:tcPr>
            <w:tcW w:w="2717" w:type="dxa"/>
            <w:vAlign w:val="top"/>
          </w:tcPr>
          <w:p w14:paraId="3C7C3C28">
            <w:pPr>
              <w:pStyle w:val="8"/>
              <w:spacing w:before="147"/>
              <w:ind w:left="108"/>
              <w:jc w:val="both"/>
              <w:rPr>
                <w:b/>
                <w:color w:val="auto"/>
                <w:sz w:val="21"/>
              </w:rPr>
            </w:pPr>
            <w:r>
              <w:rPr>
                <w:b/>
                <w:color w:val="auto"/>
                <w:sz w:val="21"/>
              </w:rPr>
              <w:t>一般</w:t>
            </w:r>
          </w:p>
        </w:tc>
        <w:tc>
          <w:tcPr>
            <w:tcW w:w="3900" w:type="dxa"/>
            <w:vAlign w:val="top"/>
          </w:tcPr>
          <w:p w14:paraId="2ABA1A5D">
            <w:pPr>
              <w:pStyle w:val="8"/>
              <w:spacing w:before="147"/>
              <w:ind w:left="106"/>
              <w:jc w:val="both"/>
              <w:rPr>
                <w:b/>
                <w:color w:val="auto"/>
                <w:sz w:val="21"/>
              </w:rPr>
            </w:pPr>
            <w:r>
              <w:rPr>
                <w:b/>
                <w:color w:val="auto"/>
                <w:sz w:val="21"/>
              </w:rPr>
              <w:t>从重</w:t>
            </w:r>
          </w:p>
        </w:tc>
      </w:tr>
      <w:tr w14:paraId="3EDAA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62" w:type="dxa"/>
            <w:vMerge w:val="continue"/>
            <w:tcBorders>
              <w:top w:val="nil"/>
            </w:tcBorders>
            <w:vAlign w:val="top"/>
          </w:tcPr>
          <w:p w14:paraId="3A0F8E53">
            <w:pPr>
              <w:jc w:val="both"/>
              <w:rPr>
                <w:color w:val="auto"/>
                <w:sz w:val="2"/>
                <w:szCs w:val="2"/>
              </w:rPr>
            </w:pPr>
          </w:p>
        </w:tc>
        <w:tc>
          <w:tcPr>
            <w:tcW w:w="1183" w:type="dxa"/>
            <w:gridSpan w:val="2"/>
            <w:vAlign w:val="top"/>
          </w:tcPr>
          <w:p w14:paraId="3D4370E9">
            <w:pPr>
              <w:pStyle w:val="8"/>
              <w:jc w:val="both"/>
              <w:rPr>
                <w:rFonts w:ascii="Times New Roman"/>
                <w:color w:val="auto"/>
                <w:sz w:val="20"/>
              </w:rPr>
            </w:pPr>
          </w:p>
          <w:p w14:paraId="3915E4C6">
            <w:pPr>
              <w:pStyle w:val="8"/>
              <w:spacing w:before="119"/>
              <w:ind w:left="170"/>
              <w:jc w:val="both"/>
              <w:rPr>
                <w:b/>
                <w:color w:val="auto"/>
                <w:sz w:val="21"/>
              </w:rPr>
            </w:pPr>
            <w:r>
              <w:rPr>
                <w:b/>
                <w:color w:val="auto"/>
                <w:sz w:val="21"/>
              </w:rPr>
              <w:t>裁量情节</w:t>
            </w:r>
          </w:p>
        </w:tc>
        <w:tc>
          <w:tcPr>
            <w:tcW w:w="2715" w:type="dxa"/>
            <w:vAlign w:val="top"/>
          </w:tcPr>
          <w:p w14:paraId="3D0D0E6D">
            <w:pPr>
              <w:pStyle w:val="8"/>
              <w:spacing w:before="5"/>
              <w:jc w:val="both"/>
              <w:rPr>
                <w:rFonts w:ascii="Times New Roman"/>
                <w:color w:val="auto"/>
                <w:sz w:val="18"/>
              </w:rPr>
            </w:pPr>
          </w:p>
          <w:p w14:paraId="60D54DF8">
            <w:pPr>
              <w:pStyle w:val="8"/>
              <w:spacing w:line="242" w:lineRule="auto"/>
              <w:ind w:left="108" w:right="97"/>
              <w:jc w:val="both"/>
              <w:rPr>
                <w:color w:val="auto"/>
                <w:sz w:val="21"/>
              </w:rPr>
            </w:pPr>
            <w:r>
              <w:rPr>
                <w:color w:val="auto"/>
                <w:sz w:val="21"/>
              </w:rPr>
              <w:t>符合裁量规定减轻行政处罚情形的。</w:t>
            </w:r>
          </w:p>
        </w:tc>
        <w:tc>
          <w:tcPr>
            <w:tcW w:w="2714" w:type="dxa"/>
            <w:vAlign w:val="top"/>
          </w:tcPr>
          <w:p w14:paraId="6BBC62CD">
            <w:pPr>
              <w:pStyle w:val="8"/>
              <w:spacing w:before="5"/>
              <w:jc w:val="both"/>
              <w:rPr>
                <w:rFonts w:ascii="Times New Roman"/>
                <w:color w:val="auto"/>
                <w:sz w:val="18"/>
              </w:rPr>
            </w:pPr>
          </w:p>
          <w:p w14:paraId="1376A379">
            <w:pPr>
              <w:pStyle w:val="8"/>
              <w:spacing w:line="242" w:lineRule="auto"/>
              <w:ind w:left="108" w:right="94"/>
              <w:jc w:val="both"/>
              <w:rPr>
                <w:color w:val="auto"/>
                <w:sz w:val="21"/>
              </w:rPr>
            </w:pPr>
            <w:r>
              <w:rPr>
                <w:color w:val="auto"/>
                <w:sz w:val="21"/>
              </w:rPr>
              <w:t>符合裁量规定从轻行政处罚情形的。</w:t>
            </w:r>
          </w:p>
        </w:tc>
        <w:tc>
          <w:tcPr>
            <w:tcW w:w="2717" w:type="dxa"/>
            <w:vAlign w:val="top"/>
          </w:tcPr>
          <w:p w14:paraId="0660C179">
            <w:pPr>
              <w:pStyle w:val="8"/>
              <w:spacing w:before="5"/>
              <w:jc w:val="both"/>
              <w:rPr>
                <w:rFonts w:ascii="Times New Roman"/>
                <w:color w:val="auto"/>
                <w:sz w:val="18"/>
              </w:rPr>
            </w:pPr>
          </w:p>
          <w:p w14:paraId="01859C71">
            <w:pPr>
              <w:pStyle w:val="8"/>
              <w:spacing w:line="242" w:lineRule="auto"/>
              <w:ind w:left="108" w:right="97"/>
              <w:jc w:val="both"/>
              <w:rPr>
                <w:color w:val="auto"/>
                <w:sz w:val="21"/>
              </w:rPr>
            </w:pPr>
            <w:r>
              <w:rPr>
                <w:color w:val="auto"/>
                <w:sz w:val="21"/>
              </w:rPr>
              <w:t>符合裁量规定一般行政处罚情形的。</w:t>
            </w:r>
          </w:p>
        </w:tc>
        <w:tc>
          <w:tcPr>
            <w:tcW w:w="3900" w:type="dxa"/>
            <w:vAlign w:val="top"/>
          </w:tcPr>
          <w:p w14:paraId="597583F3">
            <w:pPr>
              <w:pStyle w:val="8"/>
              <w:jc w:val="both"/>
              <w:rPr>
                <w:rFonts w:ascii="Times New Roman"/>
                <w:color w:val="auto"/>
                <w:sz w:val="20"/>
              </w:rPr>
            </w:pPr>
          </w:p>
          <w:p w14:paraId="7D73B617">
            <w:pPr>
              <w:pStyle w:val="8"/>
              <w:spacing w:before="119"/>
              <w:ind w:left="106"/>
              <w:jc w:val="both"/>
              <w:rPr>
                <w:color w:val="auto"/>
                <w:sz w:val="21"/>
              </w:rPr>
            </w:pPr>
            <w:r>
              <w:rPr>
                <w:color w:val="auto"/>
                <w:sz w:val="21"/>
              </w:rPr>
              <w:t>符合裁量规定从重行政处罚情形的。</w:t>
            </w:r>
          </w:p>
        </w:tc>
      </w:tr>
      <w:tr w14:paraId="4A391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2" w:hRule="atLeast"/>
        </w:trPr>
        <w:tc>
          <w:tcPr>
            <w:tcW w:w="562" w:type="dxa"/>
            <w:vMerge w:val="continue"/>
            <w:tcBorders>
              <w:top w:val="nil"/>
            </w:tcBorders>
            <w:vAlign w:val="top"/>
          </w:tcPr>
          <w:p w14:paraId="1A3B405D">
            <w:pPr>
              <w:jc w:val="both"/>
              <w:rPr>
                <w:color w:val="auto"/>
                <w:sz w:val="2"/>
                <w:szCs w:val="2"/>
              </w:rPr>
            </w:pPr>
          </w:p>
        </w:tc>
        <w:tc>
          <w:tcPr>
            <w:tcW w:w="667" w:type="dxa"/>
            <w:vMerge w:val="restart"/>
            <w:vAlign w:val="top"/>
          </w:tcPr>
          <w:p w14:paraId="171C664B">
            <w:pPr>
              <w:pStyle w:val="8"/>
              <w:jc w:val="both"/>
              <w:rPr>
                <w:rFonts w:ascii="Times New Roman"/>
                <w:color w:val="auto"/>
                <w:sz w:val="20"/>
              </w:rPr>
            </w:pPr>
          </w:p>
          <w:p w14:paraId="6493A6E7">
            <w:pPr>
              <w:pStyle w:val="8"/>
              <w:jc w:val="both"/>
              <w:rPr>
                <w:rFonts w:ascii="Times New Roman"/>
                <w:color w:val="auto"/>
                <w:sz w:val="20"/>
              </w:rPr>
            </w:pPr>
          </w:p>
          <w:p w14:paraId="547A5439">
            <w:pPr>
              <w:pStyle w:val="8"/>
              <w:jc w:val="both"/>
              <w:rPr>
                <w:rFonts w:ascii="Times New Roman"/>
                <w:color w:val="auto"/>
                <w:sz w:val="20"/>
              </w:rPr>
            </w:pPr>
          </w:p>
          <w:p w14:paraId="7DE9E756">
            <w:pPr>
              <w:pStyle w:val="8"/>
              <w:jc w:val="both"/>
              <w:rPr>
                <w:rFonts w:ascii="Times New Roman"/>
                <w:color w:val="auto"/>
                <w:sz w:val="20"/>
              </w:rPr>
            </w:pPr>
          </w:p>
          <w:p w14:paraId="2ABED195">
            <w:pPr>
              <w:pStyle w:val="8"/>
              <w:jc w:val="both"/>
              <w:rPr>
                <w:rFonts w:ascii="Times New Roman"/>
                <w:color w:val="auto"/>
                <w:sz w:val="20"/>
              </w:rPr>
            </w:pPr>
          </w:p>
          <w:p w14:paraId="3C3EF8E0">
            <w:pPr>
              <w:pStyle w:val="8"/>
              <w:jc w:val="both"/>
              <w:rPr>
                <w:rFonts w:ascii="Times New Roman"/>
                <w:color w:val="auto"/>
                <w:sz w:val="20"/>
              </w:rPr>
            </w:pPr>
          </w:p>
          <w:p w14:paraId="6F82B9FC">
            <w:pPr>
              <w:pStyle w:val="8"/>
              <w:jc w:val="both"/>
              <w:rPr>
                <w:rFonts w:ascii="Times New Roman"/>
                <w:color w:val="auto"/>
                <w:sz w:val="20"/>
              </w:rPr>
            </w:pPr>
          </w:p>
          <w:p w14:paraId="584D7352">
            <w:pPr>
              <w:pStyle w:val="8"/>
              <w:spacing w:before="165" w:line="244" w:lineRule="auto"/>
              <w:ind w:left="122" w:right="110"/>
              <w:jc w:val="both"/>
              <w:rPr>
                <w:b/>
                <w:color w:val="auto"/>
                <w:sz w:val="21"/>
              </w:rPr>
            </w:pPr>
            <w:r>
              <w:rPr>
                <w:b/>
                <w:color w:val="auto"/>
                <w:sz w:val="21"/>
              </w:rPr>
              <w:t>裁量基准</w:t>
            </w:r>
          </w:p>
        </w:tc>
        <w:tc>
          <w:tcPr>
            <w:tcW w:w="516" w:type="dxa"/>
            <w:vAlign w:val="top"/>
          </w:tcPr>
          <w:p w14:paraId="6CE82804">
            <w:pPr>
              <w:pStyle w:val="8"/>
              <w:jc w:val="both"/>
              <w:rPr>
                <w:rFonts w:ascii="Times New Roman"/>
                <w:color w:val="auto"/>
                <w:sz w:val="20"/>
              </w:rPr>
            </w:pPr>
          </w:p>
          <w:p w14:paraId="54EB4A1A">
            <w:pPr>
              <w:pStyle w:val="8"/>
              <w:spacing w:before="7"/>
              <w:jc w:val="both"/>
              <w:rPr>
                <w:rFonts w:ascii="Times New Roman"/>
                <w:color w:val="auto"/>
                <w:sz w:val="21"/>
              </w:rPr>
            </w:pPr>
          </w:p>
          <w:p w14:paraId="16BCF217">
            <w:pPr>
              <w:pStyle w:val="8"/>
              <w:spacing w:line="242" w:lineRule="auto"/>
              <w:ind w:left="151" w:right="141"/>
              <w:jc w:val="both"/>
              <w:rPr>
                <w:b/>
                <w:color w:val="auto"/>
                <w:sz w:val="21"/>
              </w:rPr>
            </w:pPr>
            <w:r>
              <w:rPr>
                <w:b/>
                <w:color w:val="auto"/>
                <w:sz w:val="21"/>
              </w:rPr>
              <w:t>一般情形</w:t>
            </w:r>
          </w:p>
        </w:tc>
        <w:tc>
          <w:tcPr>
            <w:tcW w:w="2715" w:type="dxa"/>
            <w:vAlign w:val="top"/>
          </w:tcPr>
          <w:p w14:paraId="464944D6">
            <w:pPr>
              <w:pStyle w:val="8"/>
              <w:jc w:val="both"/>
              <w:rPr>
                <w:rFonts w:ascii="Times New Roman"/>
                <w:color w:val="auto"/>
                <w:sz w:val="20"/>
              </w:rPr>
            </w:pPr>
          </w:p>
          <w:p w14:paraId="7D08F1C3">
            <w:pPr>
              <w:pStyle w:val="8"/>
              <w:jc w:val="both"/>
              <w:rPr>
                <w:rFonts w:ascii="Times New Roman"/>
                <w:color w:val="auto"/>
                <w:sz w:val="20"/>
              </w:rPr>
            </w:pPr>
          </w:p>
          <w:p w14:paraId="06B389BD">
            <w:pPr>
              <w:pStyle w:val="8"/>
              <w:spacing w:before="2"/>
              <w:jc w:val="both"/>
              <w:rPr>
                <w:rFonts w:ascii="Times New Roman"/>
                <w:color w:val="auto"/>
                <w:sz w:val="25"/>
              </w:rPr>
            </w:pPr>
          </w:p>
          <w:p w14:paraId="3D23DF21">
            <w:pPr>
              <w:pStyle w:val="8"/>
              <w:spacing w:line="242" w:lineRule="auto"/>
              <w:ind w:left="108" w:right="96"/>
              <w:jc w:val="both"/>
              <w:rPr>
                <w:color w:val="auto"/>
                <w:sz w:val="21"/>
              </w:rPr>
            </w:pPr>
            <w:r>
              <w:rPr>
                <w:color w:val="auto"/>
                <w:spacing w:val="-28"/>
                <w:sz w:val="21"/>
              </w:rPr>
              <w:t xml:space="preserve">处 </w:t>
            </w:r>
            <w:r>
              <w:rPr>
                <w:color w:val="auto"/>
                <w:sz w:val="21"/>
              </w:rPr>
              <w:t>0.2</w:t>
            </w:r>
            <w:r>
              <w:rPr>
                <w:color w:val="auto"/>
                <w:spacing w:val="-21"/>
                <w:sz w:val="21"/>
              </w:rPr>
              <w:t xml:space="preserve"> 万元以上 </w:t>
            </w:r>
            <w:r>
              <w:rPr>
                <w:color w:val="auto"/>
                <w:sz w:val="21"/>
              </w:rPr>
              <w:t>2</w:t>
            </w:r>
            <w:r>
              <w:rPr>
                <w:color w:val="auto"/>
                <w:spacing w:val="-17"/>
                <w:sz w:val="21"/>
              </w:rPr>
              <w:t xml:space="preserve"> 万元以下</w:t>
            </w:r>
            <w:r>
              <w:rPr>
                <w:color w:val="auto"/>
                <w:sz w:val="21"/>
              </w:rPr>
              <w:t>罚款。</w:t>
            </w:r>
          </w:p>
        </w:tc>
        <w:tc>
          <w:tcPr>
            <w:tcW w:w="2714" w:type="dxa"/>
            <w:vAlign w:val="top"/>
          </w:tcPr>
          <w:p w14:paraId="162FB7E5">
            <w:pPr>
              <w:pStyle w:val="8"/>
              <w:jc w:val="both"/>
              <w:rPr>
                <w:rFonts w:ascii="Times New Roman"/>
                <w:color w:val="auto"/>
                <w:sz w:val="20"/>
              </w:rPr>
            </w:pPr>
          </w:p>
          <w:p w14:paraId="72C6FD95">
            <w:pPr>
              <w:pStyle w:val="8"/>
              <w:jc w:val="both"/>
              <w:rPr>
                <w:rFonts w:ascii="Times New Roman"/>
                <w:color w:val="auto"/>
                <w:sz w:val="20"/>
              </w:rPr>
            </w:pPr>
          </w:p>
          <w:p w14:paraId="35868AC4">
            <w:pPr>
              <w:pStyle w:val="8"/>
              <w:spacing w:before="2"/>
              <w:jc w:val="both"/>
              <w:rPr>
                <w:rFonts w:ascii="Times New Roman"/>
                <w:color w:val="auto"/>
                <w:sz w:val="25"/>
              </w:rPr>
            </w:pPr>
          </w:p>
          <w:p w14:paraId="3F53FDB9">
            <w:pPr>
              <w:pStyle w:val="8"/>
              <w:spacing w:line="242" w:lineRule="auto"/>
              <w:ind w:left="108" w:right="93"/>
              <w:jc w:val="both"/>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4.4</w:t>
            </w:r>
            <w:r>
              <w:rPr>
                <w:color w:val="auto"/>
                <w:spacing w:val="-16"/>
                <w:sz w:val="21"/>
              </w:rPr>
              <w:t xml:space="preserve"> 万元以下</w:t>
            </w:r>
            <w:r>
              <w:rPr>
                <w:color w:val="auto"/>
                <w:sz w:val="21"/>
              </w:rPr>
              <w:t>罚款。</w:t>
            </w:r>
          </w:p>
        </w:tc>
        <w:tc>
          <w:tcPr>
            <w:tcW w:w="2717" w:type="dxa"/>
            <w:vAlign w:val="top"/>
          </w:tcPr>
          <w:p w14:paraId="56C09775">
            <w:pPr>
              <w:pStyle w:val="8"/>
              <w:jc w:val="both"/>
              <w:rPr>
                <w:rFonts w:ascii="Times New Roman"/>
                <w:color w:val="auto"/>
                <w:sz w:val="20"/>
              </w:rPr>
            </w:pPr>
          </w:p>
          <w:p w14:paraId="2ECEB850">
            <w:pPr>
              <w:pStyle w:val="8"/>
              <w:jc w:val="both"/>
              <w:rPr>
                <w:rFonts w:ascii="Times New Roman"/>
                <w:color w:val="auto"/>
                <w:sz w:val="20"/>
              </w:rPr>
            </w:pPr>
          </w:p>
          <w:p w14:paraId="55A85C91">
            <w:pPr>
              <w:pStyle w:val="8"/>
              <w:spacing w:before="2"/>
              <w:jc w:val="both"/>
              <w:rPr>
                <w:rFonts w:ascii="Times New Roman"/>
                <w:color w:val="auto"/>
                <w:sz w:val="25"/>
              </w:rPr>
            </w:pPr>
          </w:p>
          <w:p w14:paraId="0AD74ECA">
            <w:pPr>
              <w:pStyle w:val="8"/>
              <w:spacing w:line="242" w:lineRule="auto"/>
              <w:ind w:left="108" w:right="95"/>
              <w:jc w:val="both"/>
              <w:rPr>
                <w:color w:val="auto"/>
                <w:sz w:val="21"/>
              </w:rPr>
            </w:pPr>
            <w:r>
              <w:rPr>
                <w:color w:val="auto"/>
                <w:spacing w:val="-28"/>
                <w:sz w:val="21"/>
              </w:rPr>
              <w:t xml:space="preserve">处 </w:t>
            </w:r>
            <w:r>
              <w:rPr>
                <w:color w:val="auto"/>
                <w:sz w:val="21"/>
              </w:rPr>
              <w:t>4.4</w:t>
            </w:r>
            <w:r>
              <w:rPr>
                <w:color w:val="auto"/>
                <w:spacing w:val="-20"/>
                <w:sz w:val="21"/>
              </w:rPr>
              <w:t xml:space="preserve"> 万元以上 </w:t>
            </w:r>
            <w:r>
              <w:rPr>
                <w:color w:val="auto"/>
                <w:sz w:val="21"/>
              </w:rPr>
              <w:t>7.6</w:t>
            </w:r>
            <w:r>
              <w:rPr>
                <w:color w:val="auto"/>
                <w:spacing w:val="-19"/>
                <w:sz w:val="21"/>
              </w:rPr>
              <w:t xml:space="preserve"> 万元以</w:t>
            </w:r>
            <w:r>
              <w:rPr>
                <w:color w:val="auto"/>
                <w:spacing w:val="-1"/>
                <w:sz w:val="21"/>
              </w:rPr>
              <w:t>下罚款。</w:t>
            </w:r>
          </w:p>
        </w:tc>
        <w:tc>
          <w:tcPr>
            <w:tcW w:w="3900" w:type="dxa"/>
            <w:vAlign w:val="top"/>
          </w:tcPr>
          <w:p w14:paraId="50406C65">
            <w:pPr>
              <w:pStyle w:val="8"/>
              <w:jc w:val="both"/>
              <w:rPr>
                <w:rFonts w:ascii="Times New Roman"/>
                <w:color w:val="auto"/>
                <w:sz w:val="20"/>
              </w:rPr>
            </w:pPr>
          </w:p>
          <w:p w14:paraId="098F39EA">
            <w:pPr>
              <w:pStyle w:val="8"/>
              <w:jc w:val="both"/>
              <w:rPr>
                <w:rFonts w:ascii="Times New Roman"/>
                <w:color w:val="auto"/>
                <w:sz w:val="20"/>
              </w:rPr>
            </w:pPr>
          </w:p>
          <w:p w14:paraId="72ACCA96">
            <w:pPr>
              <w:pStyle w:val="8"/>
              <w:jc w:val="both"/>
              <w:rPr>
                <w:rFonts w:ascii="Times New Roman"/>
                <w:color w:val="auto"/>
                <w:sz w:val="20"/>
              </w:rPr>
            </w:pPr>
          </w:p>
          <w:p w14:paraId="584124A1">
            <w:pPr>
              <w:pStyle w:val="8"/>
              <w:spacing w:before="1"/>
              <w:jc w:val="both"/>
              <w:rPr>
                <w:rFonts w:ascii="Times New Roman"/>
                <w:color w:val="auto"/>
                <w:sz w:val="17"/>
              </w:rPr>
            </w:pPr>
          </w:p>
          <w:p w14:paraId="32C6329D">
            <w:pPr>
              <w:pStyle w:val="8"/>
              <w:ind w:left="106"/>
              <w:jc w:val="both"/>
              <w:rPr>
                <w:color w:val="auto"/>
                <w:sz w:val="21"/>
              </w:rPr>
            </w:pPr>
            <w:r>
              <w:rPr>
                <w:color w:val="auto"/>
                <w:sz w:val="21"/>
              </w:rPr>
              <w:t>处 7.6 万元以上 10 万元以下罚款。</w:t>
            </w:r>
          </w:p>
        </w:tc>
      </w:tr>
      <w:tr w14:paraId="25E30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0" w:hRule="atLeast"/>
        </w:trPr>
        <w:tc>
          <w:tcPr>
            <w:tcW w:w="562" w:type="dxa"/>
            <w:vMerge w:val="continue"/>
            <w:tcBorders>
              <w:top w:val="nil"/>
            </w:tcBorders>
            <w:vAlign w:val="top"/>
          </w:tcPr>
          <w:p w14:paraId="36E9BDFE">
            <w:pPr>
              <w:jc w:val="both"/>
              <w:rPr>
                <w:color w:val="auto"/>
                <w:sz w:val="2"/>
                <w:szCs w:val="2"/>
              </w:rPr>
            </w:pPr>
          </w:p>
        </w:tc>
        <w:tc>
          <w:tcPr>
            <w:tcW w:w="667" w:type="dxa"/>
            <w:vMerge w:val="continue"/>
            <w:tcBorders>
              <w:top w:val="nil"/>
            </w:tcBorders>
            <w:vAlign w:val="top"/>
          </w:tcPr>
          <w:p w14:paraId="14685660">
            <w:pPr>
              <w:jc w:val="both"/>
              <w:rPr>
                <w:color w:val="auto"/>
                <w:sz w:val="2"/>
                <w:szCs w:val="2"/>
              </w:rPr>
            </w:pPr>
          </w:p>
        </w:tc>
        <w:tc>
          <w:tcPr>
            <w:tcW w:w="516" w:type="dxa"/>
            <w:vAlign w:val="top"/>
          </w:tcPr>
          <w:p w14:paraId="01BF5BE3">
            <w:pPr>
              <w:pStyle w:val="8"/>
              <w:spacing w:before="5"/>
              <w:jc w:val="both"/>
              <w:rPr>
                <w:rFonts w:ascii="Times New Roman"/>
                <w:color w:val="auto"/>
                <w:sz w:val="29"/>
              </w:rPr>
            </w:pPr>
          </w:p>
          <w:p w14:paraId="48513E24">
            <w:pPr>
              <w:pStyle w:val="8"/>
              <w:spacing w:before="1" w:line="242" w:lineRule="auto"/>
              <w:ind w:left="151" w:right="141"/>
              <w:jc w:val="both"/>
              <w:rPr>
                <w:b/>
                <w:color w:val="auto"/>
                <w:sz w:val="21"/>
              </w:rPr>
            </w:pPr>
            <w:r>
              <w:rPr>
                <w:b/>
                <w:color w:val="auto"/>
                <w:sz w:val="21"/>
              </w:rPr>
              <w:t>情节严重的</w:t>
            </w:r>
          </w:p>
        </w:tc>
        <w:tc>
          <w:tcPr>
            <w:tcW w:w="2715" w:type="dxa"/>
            <w:vAlign w:val="top"/>
          </w:tcPr>
          <w:p w14:paraId="38ACB108">
            <w:pPr>
              <w:pStyle w:val="8"/>
              <w:jc w:val="both"/>
              <w:rPr>
                <w:rFonts w:ascii="Times New Roman"/>
                <w:color w:val="auto"/>
                <w:sz w:val="20"/>
              </w:rPr>
            </w:pPr>
          </w:p>
        </w:tc>
        <w:tc>
          <w:tcPr>
            <w:tcW w:w="2714" w:type="dxa"/>
            <w:vAlign w:val="top"/>
          </w:tcPr>
          <w:p w14:paraId="4E1085C2">
            <w:pPr>
              <w:pStyle w:val="8"/>
              <w:jc w:val="both"/>
              <w:rPr>
                <w:rFonts w:ascii="Times New Roman"/>
                <w:color w:val="auto"/>
                <w:sz w:val="20"/>
              </w:rPr>
            </w:pPr>
          </w:p>
          <w:p w14:paraId="7F10BAAA">
            <w:pPr>
              <w:pStyle w:val="8"/>
              <w:jc w:val="both"/>
              <w:rPr>
                <w:rFonts w:ascii="Times New Roman"/>
                <w:color w:val="auto"/>
                <w:sz w:val="20"/>
              </w:rPr>
            </w:pPr>
          </w:p>
          <w:p w14:paraId="37B8CBFF">
            <w:pPr>
              <w:pStyle w:val="8"/>
              <w:spacing w:before="2"/>
              <w:jc w:val="both"/>
              <w:rPr>
                <w:rFonts w:ascii="Times New Roman"/>
                <w:color w:val="auto"/>
                <w:sz w:val="25"/>
              </w:rPr>
            </w:pPr>
          </w:p>
          <w:p w14:paraId="69B0AB33">
            <w:pPr>
              <w:pStyle w:val="8"/>
              <w:spacing w:line="242" w:lineRule="auto"/>
              <w:ind w:left="108" w:right="93"/>
              <w:jc w:val="both"/>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22</w:t>
            </w:r>
            <w:r>
              <w:rPr>
                <w:color w:val="auto"/>
                <w:spacing w:val="-16"/>
                <w:sz w:val="21"/>
              </w:rPr>
              <w:t xml:space="preserve"> 万元以下</w:t>
            </w:r>
            <w:r>
              <w:rPr>
                <w:color w:val="auto"/>
                <w:sz w:val="21"/>
              </w:rPr>
              <w:t>罚款。</w:t>
            </w:r>
          </w:p>
        </w:tc>
        <w:tc>
          <w:tcPr>
            <w:tcW w:w="2717" w:type="dxa"/>
            <w:vAlign w:val="top"/>
          </w:tcPr>
          <w:p w14:paraId="773E45BC">
            <w:pPr>
              <w:pStyle w:val="8"/>
              <w:jc w:val="both"/>
              <w:rPr>
                <w:rFonts w:ascii="Times New Roman"/>
                <w:color w:val="auto"/>
                <w:sz w:val="20"/>
              </w:rPr>
            </w:pPr>
          </w:p>
          <w:p w14:paraId="378220F2">
            <w:pPr>
              <w:pStyle w:val="8"/>
              <w:jc w:val="both"/>
              <w:rPr>
                <w:rFonts w:ascii="Times New Roman"/>
                <w:color w:val="auto"/>
                <w:sz w:val="20"/>
              </w:rPr>
            </w:pPr>
          </w:p>
          <w:p w14:paraId="108A8575">
            <w:pPr>
              <w:pStyle w:val="8"/>
              <w:spacing w:before="2"/>
              <w:jc w:val="both"/>
              <w:rPr>
                <w:rFonts w:ascii="Times New Roman"/>
                <w:color w:val="auto"/>
                <w:sz w:val="25"/>
              </w:rPr>
            </w:pPr>
          </w:p>
          <w:p w14:paraId="5B41E91B">
            <w:pPr>
              <w:pStyle w:val="8"/>
              <w:spacing w:line="242" w:lineRule="auto"/>
              <w:ind w:left="108" w:right="95"/>
              <w:jc w:val="both"/>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万元以下</w:t>
            </w:r>
            <w:r>
              <w:rPr>
                <w:color w:val="auto"/>
                <w:sz w:val="21"/>
              </w:rPr>
              <w:t>罚款。</w:t>
            </w:r>
          </w:p>
        </w:tc>
        <w:tc>
          <w:tcPr>
            <w:tcW w:w="3900" w:type="dxa"/>
            <w:vAlign w:val="top"/>
          </w:tcPr>
          <w:p w14:paraId="3D0519C5">
            <w:pPr>
              <w:pStyle w:val="8"/>
              <w:jc w:val="both"/>
              <w:rPr>
                <w:rFonts w:ascii="Times New Roman"/>
                <w:color w:val="auto"/>
                <w:sz w:val="20"/>
              </w:rPr>
            </w:pPr>
          </w:p>
          <w:p w14:paraId="60BB0963">
            <w:pPr>
              <w:pStyle w:val="8"/>
              <w:jc w:val="both"/>
              <w:rPr>
                <w:rFonts w:ascii="Times New Roman"/>
                <w:color w:val="auto"/>
                <w:sz w:val="20"/>
              </w:rPr>
            </w:pPr>
          </w:p>
          <w:p w14:paraId="48DAC04D">
            <w:pPr>
              <w:pStyle w:val="8"/>
              <w:jc w:val="both"/>
              <w:rPr>
                <w:rFonts w:ascii="Times New Roman"/>
                <w:color w:val="auto"/>
                <w:sz w:val="20"/>
              </w:rPr>
            </w:pPr>
          </w:p>
          <w:p w14:paraId="0B664A08">
            <w:pPr>
              <w:pStyle w:val="8"/>
              <w:spacing w:before="10"/>
              <w:jc w:val="both"/>
              <w:rPr>
                <w:rFonts w:ascii="Times New Roman"/>
                <w:color w:val="auto"/>
                <w:sz w:val="16"/>
              </w:rPr>
            </w:pPr>
          </w:p>
          <w:p w14:paraId="0515D75A">
            <w:pPr>
              <w:pStyle w:val="8"/>
              <w:ind w:left="106"/>
              <w:jc w:val="both"/>
              <w:rPr>
                <w:color w:val="auto"/>
                <w:sz w:val="21"/>
              </w:rPr>
            </w:pPr>
            <w:r>
              <w:rPr>
                <w:color w:val="auto"/>
                <w:sz w:val="21"/>
              </w:rPr>
              <w:t>处 38 万元以上 50 万元以下罚款。</w:t>
            </w:r>
          </w:p>
        </w:tc>
      </w:tr>
    </w:tbl>
    <w:p w14:paraId="109333D7">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6"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593"/>
        <w:gridCol w:w="591"/>
        <w:gridCol w:w="2716"/>
        <w:gridCol w:w="2715"/>
        <w:gridCol w:w="2718"/>
        <w:gridCol w:w="3901"/>
      </w:tblGrid>
      <w:tr w14:paraId="7E4EC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restart"/>
            <w:vAlign w:val="top"/>
          </w:tcPr>
          <w:p w14:paraId="62D76C67">
            <w:pPr>
              <w:pStyle w:val="8"/>
              <w:jc w:val="both"/>
              <w:rPr>
                <w:rFonts w:ascii="Times New Roman"/>
                <w:color w:val="auto"/>
                <w:sz w:val="20"/>
              </w:rPr>
            </w:pPr>
          </w:p>
          <w:p w14:paraId="366D2DE1">
            <w:pPr>
              <w:pStyle w:val="8"/>
              <w:jc w:val="both"/>
              <w:rPr>
                <w:rFonts w:ascii="Times New Roman"/>
                <w:color w:val="auto"/>
                <w:sz w:val="20"/>
              </w:rPr>
            </w:pPr>
          </w:p>
          <w:p w14:paraId="72400023">
            <w:pPr>
              <w:pStyle w:val="8"/>
              <w:jc w:val="both"/>
              <w:rPr>
                <w:rFonts w:ascii="Times New Roman"/>
                <w:color w:val="auto"/>
                <w:sz w:val="20"/>
              </w:rPr>
            </w:pPr>
          </w:p>
          <w:p w14:paraId="76E0B046">
            <w:pPr>
              <w:pStyle w:val="8"/>
              <w:jc w:val="both"/>
              <w:rPr>
                <w:rFonts w:ascii="Times New Roman"/>
                <w:color w:val="auto"/>
                <w:sz w:val="20"/>
              </w:rPr>
            </w:pPr>
          </w:p>
          <w:p w14:paraId="1F695E4D">
            <w:pPr>
              <w:pStyle w:val="8"/>
              <w:jc w:val="both"/>
              <w:rPr>
                <w:rFonts w:ascii="Times New Roman"/>
                <w:color w:val="auto"/>
                <w:sz w:val="20"/>
              </w:rPr>
            </w:pPr>
          </w:p>
          <w:p w14:paraId="110780FA">
            <w:pPr>
              <w:pStyle w:val="8"/>
              <w:jc w:val="both"/>
              <w:rPr>
                <w:rFonts w:ascii="Times New Roman"/>
                <w:color w:val="auto"/>
                <w:sz w:val="20"/>
              </w:rPr>
            </w:pPr>
          </w:p>
          <w:p w14:paraId="74D41039">
            <w:pPr>
              <w:pStyle w:val="8"/>
              <w:jc w:val="both"/>
              <w:rPr>
                <w:rFonts w:ascii="Times New Roman"/>
                <w:color w:val="auto"/>
                <w:sz w:val="20"/>
              </w:rPr>
            </w:pPr>
          </w:p>
          <w:p w14:paraId="0AC7D870">
            <w:pPr>
              <w:pStyle w:val="8"/>
              <w:jc w:val="both"/>
              <w:rPr>
                <w:rFonts w:ascii="Times New Roman"/>
                <w:color w:val="auto"/>
                <w:sz w:val="20"/>
              </w:rPr>
            </w:pPr>
          </w:p>
          <w:p w14:paraId="4B96BA4F">
            <w:pPr>
              <w:pStyle w:val="8"/>
              <w:jc w:val="both"/>
              <w:rPr>
                <w:rFonts w:ascii="Times New Roman"/>
                <w:color w:val="auto"/>
                <w:sz w:val="20"/>
              </w:rPr>
            </w:pPr>
          </w:p>
          <w:p w14:paraId="66A2989D">
            <w:pPr>
              <w:pStyle w:val="8"/>
              <w:jc w:val="both"/>
              <w:rPr>
                <w:rFonts w:ascii="Times New Roman"/>
                <w:color w:val="auto"/>
                <w:sz w:val="20"/>
              </w:rPr>
            </w:pPr>
          </w:p>
          <w:p w14:paraId="0FD5D889">
            <w:pPr>
              <w:pStyle w:val="8"/>
              <w:jc w:val="both"/>
              <w:rPr>
                <w:rFonts w:ascii="Times New Roman"/>
                <w:color w:val="auto"/>
                <w:sz w:val="20"/>
              </w:rPr>
            </w:pPr>
          </w:p>
          <w:p w14:paraId="6B10897D">
            <w:pPr>
              <w:pStyle w:val="8"/>
              <w:jc w:val="both"/>
              <w:rPr>
                <w:rFonts w:ascii="Times New Roman"/>
                <w:color w:val="auto"/>
                <w:sz w:val="20"/>
              </w:rPr>
            </w:pPr>
          </w:p>
          <w:p w14:paraId="53A050F8">
            <w:pPr>
              <w:pStyle w:val="8"/>
              <w:jc w:val="both"/>
              <w:rPr>
                <w:rFonts w:ascii="Times New Roman"/>
                <w:color w:val="auto"/>
                <w:sz w:val="20"/>
              </w:rPr>
            </w:pPr>
          </w:p>
          <w:p w14:paraId="58D0709E">
            <w:pPr>
              <w:pStyle w:val="8"/>
              <w:jc w:val="both"/>
              <w:rPr>
                <w:rFonts w:ascii="Times New Roman"/>
                <w:color w:val="auto"/>
                <w:sz w:val="20"/>
              </w:rPr>
            </w:pPr>
          </w:p>
          <w:p w14:paraId="59ED81C7">
            <w:pPr>
              <w:pStyle w:val="8"/>
              <w:jc w:val="both"/>
              <w:rPr>
                <w:rFonts w:ascii="Times New Roman"/>
                <w:color w:val="auto"/>
                <w:sz w:val="20"/>
              </w:rPr>
            </w:pPr>
          </w:p>
          <w:p w14:paraId="47309837">
            <w:pPr>
              <w:pStyle w:val="8"/>
              <w:spacing w:before="4"/>
              <w:jc w:val="both"/>
              <w:rPr>
                <w:rFonts w:ascii="Times New Roman"/>
                <w:color w:val="auto"/>
                <w:sz w:val="18"/>
              </w:rPr>
            </w:pPr>
          </w:p>
          <w:p w14:paraId="68C153BF">
            <w:pPr>
              <w:pStyle w:val="8"/>
              <w:spacing w:before="1"/>
              <w:ind w:left="175"/>
              <w:jc w:val="both"/>
              <w:rPr>
                <w:color w:val="auto"/>
                <w:sz w:val="21"/>
              </w:rPr>
            </w:pPr>
            <w:r>
              <w:rPr>
                <w:color w:val="auto"/>
                <w:sz w:val="21"/>
              </w:rPr>
              <w:t>10</w:t>
            </w:r>
          </w:p>
        </w:tc>
        <w:tc>
          <w:tcPr>
            <w:tcW w:w="1184" w:type="dxa"/>
            <w:gridSpan w:val="2"/>
            <w:vAlign w:val="top"/>
          </w:tcPr>
          <w:p w14:paraId="0188E57B">
            <w:pPr>
              <w:pStyle w:val="8"/>
              <w:spacing w:before="149"/>
              <w:ind w:left="170"/>
              <w:jc w:val="both"/>
              <w:rPr>
                <w:b/>
                <w:color w:val="auto"/>
                <w:sz w:val="21"/>
              </w:rPr>
            </w:pPr>
            <w:r>
              <w:rPr>
                <w:b/>
                <w:color w:val="auto"/>
                <w:sz w:val="21"/>
              </w:rPr>
              <w:t>违法行为</w:t>
            </w:r>
          </w:p>
        </w:tc>
        <w:tc>
          <w:tcPr>
            <w:tcW w:w="12050" w:type="dxa"/>
            <w:gridSpan w:val="4"/>
            <w:vAlign w:val="top"/>
          </w:tcPr>
          <w:p w14:paraId="3C3087AF">
            <w:pPr>
              <w:pStyle w:val="8"/>
              <w:spacing w:before="149"/>
              <w:ind w:left="579"/>
              <w:jc w:val="both"/>
              <w:rPr>
                <w:color w:val="auto"/>
                <w:sz w:val="21"/>
              </w:rPr>
            </w:pPr>
            <w:r>
              <w:rPr>
                <w:color w:val="auto"/>
                <w:sz w:val="21"/>
              </w:rPr>
              <w:t>电子商务平台经营者未依照本条例规定履行实名登记、制止、报告、停止提供电子商务平台服务等管理义务的</w:t>
            </w:r>
          </w:p>
        </w:tc>
      </w:tr>
      <w:tr w14:paraId="03254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6" w:hRule="atLeast"/>
        </w:trPr>
        <w:tc>
          <w:tcPr>
            <w:tcW w:w="562" w:type="dxa"/>
            <w:vMerge w:val="continue"/>
            <w:tcBorders>
              <w:top w:val="nil"/>
            </w:tcBorders>
            <w:vAlign w:val="top"/>
          </w:tcPr>
          <w:p w14:paraId="75941925">
            <w:pPr>
              <w:jc w:val="both"/>
              <w:rPr>
                <w:color w:val="auto"/>
                <w:sz w:val="2"/>
                <w:szCs w:val="2"/>
              </w:rPr>
            </w:pPr>
          </w:p>
        </w:tc>
        <w:tc>
          <w:tcPr>
            <w:tcW w:w="1184" w:type="dxa"/>
            <w:gridSpan w:val="2"/>
            <w:vAlign w:val="top"/>
          </w:tcPr>
          <w:p w14:paraId="27ACBB29">
            <w:pPr>
              <w:pStyle w:val="8"/>
              <w:jc w:val="both"/>
              <w:rPr>
                <w:rFonts w:ascii="Times New Roman"/>
                <w:color w:val="auto"/>
                <w:sz w:val="20"/>
              </w:rPr>
            </w:pPr>
          </w:p>
          <w:p w14:paraId="5E8B7A8B">
            <w:pPr>
              <w:pStyle w:val="8"/>
              <w:jc w:val="both"/>
              <w:rPr>
                <w:rFonts w:ascii="Times New Roman"/>
                <w:color w:val="auto"/>
                <w:sz w:val="20"/>
              </w:rPr>
            </w:pPr>
          </w:p>
          <w:p w14:paraId="3E7495BF">
            <w:pPr>
              <w:pStyle w:val="8"/>
              <w:jc w:val="both"/>
              <w:rPr>
                <w:rFonts w:ascii="Times New Roman"/>
                <w:color w:val="auto"/>
                <w:sz w:val="20"/>
              </w:rPr>
            </w:pPr>
          </w:p>
          <w:p w14:paraId="2FA3C655">
            <w:pPr>
              <w:pStyle w:val="8"/>
              <w:jc w:val="both"/>
              <w:rPr>
                <w:rFonts w:ascii="Times New Roman"/>
                <w:color w:val="auto"/>
                <w:sz w:val="20"/>
              </w:rPr>
            </w:pPr>
          </w:p>
          <w:p w14:paraId="7C142DF1">
            <w:pPr>
              <w:pStyle w:val="8"/>
              <w:spacing w:before="6"/>
              <w:jc w:val="both"/>
              <w:rPr>
                <w:rFonts w:ascii="Times New Roman"/>
                <w:color w:val="auto"/>
                <w:sz w:val="21"/>
              </w:rPr>
            </w:pPr>
          </w:p>
          <w:p w14:paraId="29D1FC4C">
            <w:pPr>
              <w:pStyle w:val="8"/>
              <w:ind w:left="170"/>
              <w:jc w:val="both"/>
              <w:rPr>
                <w:b/>
                <w:color w:val="auto"/>
                <w:sz w:val="21"/>
              </w:rPr>
            </w:pPr>
            <w:r>
              <w:rPr>
                <w:b/>
                <w:color w:val="auto"/>
                <w:sz w:val="21"/>
              </w:rPr>
              <w:t>处罚依据</w:t>
            </w:r>
          </w:p>
        </w:tc>
        <w:tc>
          <w:tcPr>
            <w:tcW w:w="12050" w:type="dxa"/>
            <w:gridSpan w:val="4"/>
            <w:vAlign w:val="top"/>
          </w:tcPr>
          <w:p w14:paraId="57DEB94F">
            <w:pPr>
              <w:pStyle w:val="8"/>
              <w:spacing w:before="78" w:line="244" w:lineRule="auto"/>
              <w:ind w:left="107" w:right="104" w:firstLine="420"/>
              <w:jc w:val="both"/>
              <w:rPr>
                <w:color w:val="auto"/>
                <w:sz w:val="21"/>
              </w:rPr>
            </w:pPr>
            <w:r>
              <w:rPr>
                <w:color w:val="auto"/>
                <w:sz w:val="21"/>
              </w:rPr>
              <w:t>根据《化妆品监督管理条例》第六十七条规定，由省、自治区、直辖市人民政府药品监督管理部门依照《中华人民共和国电子商务法》的规定给予处罚。</w:t>
            </w:r>
          </w:p>
          <w:p w14:paraId="05079B05">
            <w:pPr>
              <w:pStyle w:val="8"/>
              <w:tabs>
                <w:tab w:val="left" w:pos="4540"/>
              </w:tabs>
              <w:spacing w:line="244" w:lineRule="auto"/>
              <w:ind w:left="107" w:right="103" w:firstLine="420"/>
              <w:jc w:val="both"/>
              <w:rPr>
                <w:color w:val="auto"/>
                <w:sz w:val="21"/>
              </w:rPr>
            </w:pPr>
            <w:r>
              <w:rPr>
                <w:color w:val="auto"/>
                <w:sz w:val="21"/>
              </w:rPr>
              <w:t>《中华人民共和国电子商务法》第八十条</w:t>
            </w:r>
            <w:r>
              <w:rPr>
                <w:color w:val="auto"/>
                <w:sz w:val="21"/>
              </w:rPr>
              <w:tab/>
            </w:r>
            <w:r>
              <w:rPr>
                <w:color w:val="auto"/>
                <w:sz w:val="21"/>
              </w:rPr>
              <w:t>电子商务平台经营者有下列行为之一的，由有关主管部门责令限期改正；逾期</w:t>
            </w:r>
            <w:r>
              <w:rPr>
                <w:color w:val="auto"/>
                <w:spacing w:val="-17"/>
                <w:sz w:val="21"/>
              </w:rPr>
              <w:t>不</w:t>
            </w:r>
            <w:r>
              <w:rPr>
                <w:color w:val="auto"/>
                <w:sz w:val="21"/>
              </w:rPr>
              <w:t>改正</w:t>
            </w:r>
            <w:r>
              <w:rPr>
                <w:color w:val="auto"/>
                <w:spacing w:val="-3"/>
                <w:sz w:val="21"/>
              </w:rPr>
              <w:t>的</w:t>
            </w:r>
            <w:r>
              <w:rPr>
                <w:color w:val="auto"/>
                <w:sz w:val="21"/>
              </w:rPr>
              <w:t>，</w:t>
            </w:r>
            <w:r>
              <w:rPr>
                <w:color w:val="auto"/>
                <w:spacing w:val="-3"/>
                <w:sz w:val="21"/>
              </w:rPr>
              <w:t>处</w:t>
            </w:r>
            <w:r>
              <w:rPr>
                <w:color w:val="auto"/>
                <w:sz w:val="21"/>
              </w:rPr>
              <w:t>二</w:t>
            </w:r>
            <w:r>
              <w:rPr>
                <w:color w:val="auto"/>
                <w:spacing w:val="-3"/>
                <w:sz w:val="21"/>
              </w:rPr>
              <w:t>万</w:t>
            </w:r>
            <w:r>
              <w:rPr>
                <w:color w:val="auto"/>
                <w:sz w:val="21"/>
              </w:rPr>
              <w:t>元</w:t>
            </w:r>
            <w:r>
              <w:rPr>
                <w:color w:val="auto"/>
                <w:spacing w:val="-3"/>
                <w:sz w:val="21"/>
              </w:rPr>
              <w:t>以</w:t>
            </w:r>
            <w:r>
              <w:rPr>
                <w:color w:val="auto"/>
                <w:sz w:val="21"/>
              </w:rPr>
              <w:t>上</w:t>
            </w:r>
            <w:r>
              <w:rPr>
                <w:color w:val="auto"/>
                <w:spacing w:val="-3"/>
                <w:sz w:val="21"/>
              </w:rPr>
              <w:t>十</w:t>
            </w:r>
            <w:r>
              <w:rPr>
                <w:color w:val="auto"/>
                <w:sz w:val="21"/>
              </w:rPr>
              <w:t>万元</w:t>
            </w:r>
            <w:r>
              <w:rPr>
                <w:color w:val="auto"/>
                <w:spacing w:val="-3"/>
                <w:sz w:val="21"/>
              </w:rPr>
              <w:t>以</w:t>
            </w:r>
            <w:r>
              <w:rPr>
                <w:color w:val="auto"/>
                <w:sz w:val="21"/>
              </w:rPr>
              <w:t>下</w:t>
            </w:r>
            <w:r>
              <w:rPr>
                <w:color w:val="auto"/>
                <w:spacing w:val="-3"/>
                <w:sz w:val="21"/>
              </w:rPr>
              <w:t>的</w:t>
            </w:r>
            <w:r>
              <w:rPr>
                <w:color w:val="auto"/>
                <w:sz w:val="21"/>
              </w:rPr>
              <w:t>罚</w:t>
            </w:r>
            <w:r>
              <w:rPr>
                <w:color w:val="auto"/>
                <w:spacing w:val="-3"/>
                <w:sz w:val="21"/>
              </w:rPr>
              <w:t>款</w:t>
            </w:r>
            <w:r>
              <w:rPr>
                <w:color w:val="auto"/>
                <w:sz w:val="21"/>
              </w:rPr>
              <w:t>；</w:t>
            </w:r>
            <w:r>
              <w:rPr>
                <w:color w:val="auto"/>
                <w:spacing w:val="-3"/>
                <w:sz w:val="21"/>
              </w:rPr>
              <w:t>情</w:t>
            </w:r>
            <w:r>
              <w:rPr>
                <w:color w:val="auto"/>
                <w:sz w:val="21"/>
              </w:rPr>
              <w:t>节</w:t>
            </w:r>
            <w:r>
              <w:rPr>
                <w:color w:val="auto"/>
                <w:spacing w:val="-3"/>
                <w:sz w:val="21"/>
              </w:rPr>
              <w:t>严</w:t>
            </w:r>
            <w:r>
              <w:rPr>
                <w:color w:val="auto"/>
                <w:sz w:val="21"/>
              </w:rPr>
              <w:t>重的</w:t>
            </w:r>
            <w:r>
              <w:rPr>
                <w:color w:val="auto"/>
                <w:spacing w:val="-3"/>
                <w:sz w:val="21"/>
              </w:rPr>
              <w:t>，</w:t>
            </w:r>
            <w:r>
              <w:rPr>
                <w:color w:val="auto"/>
                <w:sz w:val="21"/>
              </w:rPr>
              <w:t>责</w:t>
            </w:r>
            <w:r>
              <w:rPr>
                <w:color w:val="auto"/>
                <w:spacing w:val="-3"/>
                <w:sz w:val="21"/>
              </w:rPr>
              <w:t>令</w:t>
            </w:r>
            <w:r>
              <w:rPr>
                <w:color w:val="auto"/>
                <w:sz w:val="21"/>
              </w:rPr>
              <w:t>停</w:t>
            </w:r>
            <w:r>
              <w:rPr>
                <w:color w:val="auto"/>
                <w:spacing w:val="-3"/>
                <w:sz w:val="21"/>
              </w:rPr>
              <w:t>业</w:t>
            </w:r>
            <w:r>
              <w:rPr>
                <w:color w:val="auto"/>
                <w:sz w:val="21"/>
              </w:rPr>
              <w:t>整</w:t>
            </w:r>
            <w:r>
              <w:rPr>
                <w:color w:val="auto"/>
                <w:spacing w:val="-3"/>
                <w:sz w:val="21"/>
              </w:rPr>
              <w:t>顿</w:t>
            </w:r>
            <w:r>
              <w:rPr>
                <w:color w:val="auto"/>
                <w:sz w:val="21"/>
              </w:rPr>
              <w:t>，</w:t>
            </w:r>
            <w:r>
              <w:rPr>
                <w:color w:val="auto"/>
                <w:spacing w:val="-3"/>
                <w:sz w:val="21"/>
              </w:rPr>
              <w:t>并</w:t>
            </w:r>
            <w:r>
              <w:rPr>
                <w:color w:val="auto"/>
                <w:sz w:val="21"/>
              </w:rPr>
              <w:t>处十</w:t>
            </w:r>
            <w:r>
              <w:rPr>
                <w:color w:val="auto"/>
                <w:spacing w:val="-3"/>
                <w:sz w:val="21"/>
              </w:rPr>
              <w:t>万</w:t>
            </w:r>
            <w:r>
              <w:rPr>
                <w:color w:val="auto"/>
                <w:sz w:val="21"/>
              </w:rPr>
              <w:t>元</w:t>
            </w:r>
            <w:r>
              <w:rPr>
                <w:color w:val="auto"/>
                <w:spacing w:val="-3"/>
                <w:sz w:val="21"/>
              </w:rPr>
              <w:t>以</w:t>
            </w:r>
            <w:r>
              <w:rPr>
                <w:color w:val="auto"/>
                <w:sz w:val="21"/>
              </w:rPr>
              <w:t>上</w:t>
            </w:r>
            <w:r>
              <w:rPr>
                <w:color w:val="auto"/>
                <w:spacing w:val="-3"/>
                <w:sz w:val="21"/>
              </w:rPr>
              <w:t>五</w:t>
            </w:r>
            <w:r>
              <w:rPr>
                <w:color w:val="auto"/>
                <w:sz w:val="21"/>
              </w:rPr>
              <w:t>十</w:t>
            </w:r>
            <w:r>
              <w:rPr>
                <w:color w:val="auto"/>
                <w:spacing w:val="-3"/>
                <w:sz w:val="21"/>
              </w:rPr>
              <w:t>万</w:t>
            </w:r>
            <w:r>
              <w:rPr>
                <w:color w:val="auto"/>
                <w:sz w:val="21"/>
              </w:rPr>
              <w:t>元</w:t>
            </w:r>
            <w:r>
              <w:rPr>
                <w:color w:val="auto"/>
                <w:spacing w:val="-3"/>
                <w:sz w:val="21"/>
              </w:rPr>
              <w:t>以</w:t>
            </w:r>
            <w:r>
              <w:rPr>
                <w:color w:val="auto"/>
                <w:sz w:val="21"/>
              </w:rPr>
              <w:t>下的</w:t>
            </w:r>
            <w:r>
              <w:rPr>
                <w:color w:val="auto"/>
                <w:spacing w:val="-3"/>
                <w:sz w:val="21"/>
              </w:rPr>
              <w:t>罚</w:t>
            </w:r>
            <w:r>
              <w:rPr>
                <w:color w:val="auto"/>
                <w:sz w:val="21"/>
              </w:rPr>
              <w:t>款：</w:t>
            </w:r>
          </w:p>
          <w:p w14:paraId="1832C488">
            <w:pPr>
              <w:pStyle w:val="8"/>
              <w:spacing w:line="266" w:lineRule="exact"/>
              <w:ind w:left="527"/>
              <w:jc w:val="both"/>
              <w:rPr>
                <w:color w:val="auto"/>
                <w:sz w:val="21"/>
              </w:rPr>
            </w:pPr>
            <w:r>
              <w:rPr>
                <w:color w:val="auto"/>
                <w:sz w:val="21"/>
              </w:rPr>
              <w:t>（一）不履行本法第二十七条规定的核验、登记义务的；</w:t>
            </w:r>
          </w:p>
          <w:p w14:paraId="41B66C8D">
            <w:pPr>
              <w:pStyle w:val="8"/>
              <w:ind w:left="527"/>
              <w:jc w:val="both"/>
              <w:rPr>
                <w:color w:val="auto"/>
                <w:sz w:val="21"/>
              </w:rPr>
            </w:pPr>
            <w:r>
              <w:rPr>
                <w:color w:val="auto"/>
                <w:sz w:val="21"/>
              </w:rPr>
              <w:t>（二）不按照本法第二十八条规定向市场监督管理部门、税务部门报送有关信息的；</w:t>
            </w:r>
          </w:p>
          <w:p w14:paraId="4F8ED252">
            <w:pPr>
              <w:pStyle w:val="8"/>
              <w:spacing w:before="2"/>
              <w:ind w:left="527"/>
              <w:jc w:val="both"/>
              <w:rPr>
                <w:color w:val="auto"/>
                <w:sz w:val="21"/>
              </w:rPr>
            </w:pPr>
            <w:r>
              <w:rPr>
                <w:color w:val="auto"/>
                <w:sz w:val="21"/>
              </w:rPr>
              <w:t>（三）不按照本法第二十九条规定对违法情形采取必要的处置措施，或者未向有关主管部门报告的；</w:t>
            </w:r>
          </w:p>
          <w:p w14:paraId="199CA114">
            <w:pPr>
              <w:pStyle w:val="8"/>
              <w:spacing w:before="5" w:line="242" w:lineRule="auto"/>
              <w:ind w:left="527" w:right="4365"/>
              <w:jc w:val="both"/>
              <w:rPr>
                <w:color w:val="auto"/>
                <w:sz w:val="21"/>
              </w:rPr>
            </w:pPr>
            <w:r>
              <w:rPr>
                <w:color w:val="auto"/>
                <w:sz w:val="21"/>
              </w:rPr>
              <w:t>（四）不履行本法第三十一条规定的商品和服务信息、交易信息保存义务的。法律、行政法规对前款规定的违法行为的处罚另有规定的，依照其规定。</w:t>
            </w:r>
          </w:p>
        </w:tc>
      </w:tr>
      <w:tr w14:paraId="22440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62" w:type="dxa"/>
            <w:vMerge w:val="continue"/>
            <w:tcBorders>
              <w:top w:val="nil"/>
            </w:tcBorders>
            <w:vAlign w:val="top"/>
          </w:tcPr>
          <w:p w14:paraId="62372CFA">
            <w:pPr>
              <w:jc w:val="both"/>
              <w:rPr>
                <w:color w:val="auto"/>
                <w:sz w:val="2"/>
                <w:szCs w:val="2"/>
              </w:rPr>
            </w:pPr>
          </w:p>
        </w:tc>
        <w:tc>
          <w:tcPr>
            <w:tcW w:w="1184" w:type="dxa"/>
            <w:gridSpan w:val="2"/>
            <w:vAlign w:val="top"/>
          </w:tcPr>
          <w:p w14:paraId="255F4C44">
            <w:pPr>
              <w:pStyle w:val="8"/>
              <w:spacing w:before="149"/>
              <w:ind w:left="170"/>
              <w:jc w:val="both"/>
              <w:rPr>
                <w:b/>
                <w:color w:val="auto"/>
                <w:sz w:val="21"/>
              </w:rPr>
            </w:pPr>
            <w:r>
              <w:rPr>
                <w:b/>
                <w:color w:val="auto"/>
                <w:sz w:val="21"/>
              </w:rPr>
              <w:t>裁量等级</w:t>
            </w:r>
          </w:p>
        </w:tc>
        <w:tc>
          <w:tcPr>
            <w:tcW w:w="2716" w:type="dxa"/>
            <w:vAlign w:val="top"/>
          </w:tcPr>
          <w:p w14:paraId="1DF776DC">
            <w:pPr>
              <w:pStyle w:val="8"/>
              <w:spacing w:before="149"/>
              <w:ind w:left="107"/>
              <w:jc w:val="both"/>
              <w:rPr>
                <w:b/>
                <w:color w:val="auto"/>
                <w:sz w:val="21"/>
              </w:rPr>
            </w:pPr>
            <w:r>
              <w:rPr>
                <w:b/>
                <w:color w:val="auto"/>
                <w:sz w:val="21"/>
              </w:rPr>
              <w:t>减轻</w:t>
            </w:r>
          </w:p>
        </w:tc>
        <w:tc>
          <w:tcPr>
            <w:tcW w:w="2715" w:type="dxa"/>
            <w:vAlign w:val="top"/>
          </w:tcPr>
          <w:p w14:paraId="4DBFC9A5">
            <w:pPr>
              <w:pStyle w:val="8"/>
              <w:spacing w:before="149"/>
              <w:ind w:left="106"/>
              <w:jc w:val="both"/>
              <w:rPr>
                <w:b/>
                <w:color w:val="auto"/>
                <w:sz w:val="21"/>
              </w:rPr>
            </w:pPr>
            <w:r>
              <w:rPr>
                <w:b/>
                <w:color w:val="auto"/>
                <w:sz w:val="21"/>
              </w:rPr>
              <w:t>从轻</w:t>
            </w:r>
          </w:p>
        </w:tc>
        <w:tc>
          <w:tcPr>
            <w:tcW w:w="2718" w:type="dxa"/>
            <w:vAlign w:val="top"/>
          </w:tcPr>
          <w:p w14:paraId="2885B20D">
            <w:pPr>
              <w:pStyle w:val="8"/>
              <w:spacing w:before="149"/>
              <w:ind w:left="105"/>
              <w:jc w:val="both"/>
              <w:rPr>
                <w:b/>
                <w:color w:val="auto"/>
                <w:sz w:val="21"/>
              </w:rPr>
            </w:pPr>
            <w:r>
              <w:rPr>
                <w:b/>
                <w:color w:val="auto"/>
                <w:sz w:val="21"/>
              </w:rPr>
              <w:t>一般</w:t>
            </w:r>
          </w:p>
        </w:tc>
        <w:tc>
          <w:tcPr>
            <w:tcW w:w="3901" w:type="dxa"/>
            <w:vAlign w:val="top"/>
          </w:tcPr>
          <w:p w14:paraId="2C33CDA5">
            <w:pPr>
              <w:pStyle w:val="8"/>
              <w:spacing w:before="149"/>
              <w:ind w:left="102"/>
              <w:jc w:val="both"/>
              <w:rPr>
                <w:b/>
                <w:color w:val="auto"/>
                <w:sz w:val="21"/>
              </w:rPr>
            </w:pPr>
            <w:r>
              <w:rPr>
                <w:b/>
                <w:color w:val="auto"/>
                <w:sz w:val="21"/>
              </w:rPr>
              <w:t>从重</w:t>
            </w:r>
          </w:p>
        </w:tc>
      </w:tr>
      <w:tr w14:paraId="640DF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continue"/>
            <w:tcBorders>
              <w:top w:val="nil"/>
            </w:tcBorders>
            <w:vAlign w:val="top"/>
          </w:tcPr>
          <w:p w14:paraId="2A158149">
            <w:pPr>
              <w:jc w:val="both"/>
              <w:rPr>
                <w:color w:val="auto"/>
                <w:sz w:val="2"/>
                <w:szCs w:val="2"/>
              </w:rPr>
            </w:pPr>
          </w:p>
        </w:tc>
        <w:tc>
          <w:tcPr>
            <w:tcW w:w="1184" w:type="dxa"/>
            <w:gridSpan w:val="2"/>
            <w:vAlign w:val="top"/>
          </w:tcPr>
          <w:p w14:paraId="334B2598">
            <w:pPr>
              <w:pStyle w:val="8"/>
              <w:spacing w:before="3"/>
              <w:jc w:val="both"/>
              <w:rPr>
                <w:rFonts w:ascii="Times New Roman"/>
                <w:color w:val="auto"/>
                <w:sz w:val="20"/>
              </w:rPr>
            </w:pPr>
          </w:p>
          <w:p w14:paraId="10B4BC72">
            <w:pPr>
              <w:pStyle w:val="8"/>
              <w:spacing w:before="1"/>
              <w:ind w:left="170"/>
              <w:jc w:val="both"/>
              <w:rPr>
                <w:b/>
                <w:color w:val="auto"/>
                <w:sz w:val="21"/>
              </w:rPr>
            </w:pPr>
            <w:r>
              <w:rPr>
                <w:b/>
                <w:color w:val="auto"/>
                <w:sz w:val="21"/>
              </w:rPr>
              <w:t>裁量情节</w:t>
            </w:r>
          </w:p>
        </w:tc>
        <w:tc>
          <w:tcPr>
            <w:tcW w:w="2716" w:type="dxa"/>
            <w:vAlign w:val="top"/>
          </w:tcPr>
          <w:p w14:paraId="7E86A08F">
            <w:pPr>
              <w:pStyle w:val="8"/>
              <w:spacing w:before="97" w:line="244" w:lineRule="auto"/>
              <w:ind w:left="107" w:right="99"/>
              <w:jc w:val="both"/>
              <w:rPr>
                <w:color w:val="auto"/>
                <w:sz w:val="21"/>
              </w:rPr>
            </w:pPr>
            <w:r>
              <w:rPr>
                <w:color w:val="auto"/>
                <w:sz w:val="21"/>
              </w:rPr>
              <w:t>符合裁量规定减轻行政处罚情形的。</w:t>
            </w:r>
          </w:p>
        </w:tc>
        <w:tc>
          <w:tcPr>
            <w:tcW w:w="2715" w:type="dxa"/>
            <w:vAlign w:val="top"/>
          </w:tcPr>
          <w:p w14:paraId="5B9B92DB">
            <w:pPr>
              <w:pStyle w:val="8"/>
              <w:spacing w:before="97" w:line="244" w:lineRule="auto"/>
              <w:ind w:left="106" w:right="97"/>
              <w:jc w:val="both"/>
              <w:rPr>
                <w:color w:val="auto"/>
                <w:sz w:val="21"/>
              </w:rPr>
            </w:pPr>
            <w:r>
              <w:rPr>
                <w:color w:val="auto"/>
                <w:sz w:val="21"/>
              </w:rPr>
              <w:t>符合裁量规定从轻行政处罚情形的。</w:t>
            </w:r>
          </w:p>
        </w:tc>
        <w:tc>
          <w:tcPr>
            <w:tcW w:w="2718" w:type="dxa"/>
            <w:vAlign w:val="top"/>
          </w:tcPr>
          <w:p w14:paraId="43EB5242">
            <w:pPr>
              <w:pStyle w:val="8"/>
              <w:spacing w:before="97" w:line="244" w:lineRule="auto"/>
              <w:ind w:left="105" w:right="101"/>
              <w:jc w:val="both"/>
              <w:rPr>
                <w:color w:val="auto"/>
                <w:sz w:val="21"/>
              </w:rPr>
            </w:pPr>
            <w:r>
              <w:rPr>
                <w:color w:val="auto"/>
                <w:sz w:val="21"/>
              </w:rPr>
              <w:t>符合裁量规定一般行政处罚情形的。</w:t>
            </w:r>
          </w:p>
        </w:tc>
        <w:tc>
          <w:tcPr>
            <w:tcW w:w="3901" w:type="dxa"/>
            <w:vAlign w:val="top"/>
          </w:tcPr>
          <w:p w14:paraId="4EAC9ED0">
            <w:pPr>
              <w:pStyle w:val="8"/>
              <w:spacing w:before="3"/>
              <w:jc w:val="both"/>
              <w:rPr>
                <w:rFonts w:ascii="Times New Roman"/>
                <w:color w:val="auto"/>
                <w:sz w:val="20"/>
              </w:rPr>
            </w:pPr>
          </w:p>
          <w:p w14:paraId="11AFF165">
            <w:pPr>
              <w:pStyle w:val="8"/>
              <w:spacing w:before="1"/>
              <w:ind w:left="102"/>
              <w:jc w:val="both"/>
              <w:rPr>
                <w:color w:val="auto"/>
                <w:sz w:val="21"/>
              </w:rPr>
            </w:pPr>
            <w:r>
              <w:rPr>
                <w:color w:val="auto"/>
                <w:sz w:val="21"/>
              </w:rPr>
              <w:t>符合裁量规定从重行政处罚情形的。</w:t>
            </w:r>
          </w:p>
        </w:tc>
      </w:tr>
      <w:tr w14:paraId="17C36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1" w:hRule="atLeast"/>
        </w:trPr>
        <w:tc>
          <w:tcPr>
            <w:tcW w:w="562" w:type="dxa"/>
            <w:vMerge w:val="continue"/>
            <w:tcBorders>
              <w:top w:val="nil"/>
            </w:tcBorders>
            <w:vAlign w:val="top"/>
          </w:tcPr>
          <w:p w14:paraId="57148583">
            <w:pPr>
              <w:jc w:val="both"/>
              <w:rPr>
                <w:color w:val="auto"/>
                <w:sz w:val="2"/>
                <w:szCs w:val="2"/>
              </w:rPr>
            </w:pPr>
          </w:p>
        </w:tc>
        <w:tc>
          <w:tcPr>
            <w:tcW w:w="593" w:type="dxa"/>
            <w:vMerge w:val="restart"/>
            <w:vAlign w:val="top"/>
          </w:tcPr>
          <w:p w14:paraId="52CFDEAD">
            <w:pPr>
              <w:pStyle w:val="8"/>
              <w:jc w:val="both"/>
              <w:rPr>
                <w:rFonts w:ascii="Times New Roman"/>
                <w:color w:val="auto"/>
                <w:sz w:val="20"/>
              </w:rPr>
            </w:pPr>
          </w:p>
          <w:p w14:paraId="6E90A2F4">
            <w:pPr>
              <w:pStyle w:val="8"/>
              <w:jc w:val="both"/>
              <w:rPr>
                <w:rFonts w:ascii="Times New Roman"/>
                <w:color w:val="auto"/>
                <w:sz w:val="20"/>
              </w:rPr>
            </w:pPr>
          </w:p>
          <w:p w14:paraId="215C6D9F">
            <w:pPr>
              <w:pStyle w:val="8"/>
              <w:jc w:val="both"/>
              <w:rPr>
                <w:rFonts w:ascii="Times New Roman"/>
                <w:color w:val="auto"/>
                <w:sz w:val="20"/>
              </w:rPr>
            </w:pPr>
          </w:p>
          <w:p w14:paraId="577D9830">
            <w:pPr>
              <w:pStyle w:val="8"/>
              <w:spacing w:before="3"/>
              <w:jc w:val="both"/>
              <w:rPr>
                <w:rFonts w:ascii="Times New Roman"/>
                <w:color w:val="auto"/>
                <w:sz w:val="26"/>
              </w:rPr>
            </w:pPr>
          </w:p>
          <w:p w14:paraId="5FACB636">
            <w:pPr>
              <w:pStyle w:val="8"/>
              <w:spacing w:line="242" w:lineRule="auto"/>
              <w:ind w:left="189" w:right="180"/>
              <w:jc w:val="both"/>
              <w:rPr>
                <w:b/>
                <w:color w:val="auto"/>
                <w:sz w:val="21"/>
              </w:rPr>
            </w:pPr>
            <w:r>
              <w:rPr>
                <w:b/>
                <w:color w:val="auto"/>
                <w:sz w:val="21"/>
              </w:rPr>
              <w:t>裁量基准</w:t>
            </w:r>
          </w:p>
        </w:tc>
        <w:tc>
          <w:tcPr>
            <w:tcW w:w="591" w:type="dxa"/>
            <w:vAlign w:val="top"/>
          </w:tcPr>
          <w:p w14:paraId="19D98E80">
            <w:pPr>
              <w:pStyle w:val="8"/>
              <w:spacing w:before="3"/>
              <w:jc w:val="both"/>
              <w:rPr>
                <w:rFonts w:ascii="Times New Roman"/>
                <w:color w:val="auto"/>
                <w:sz w:val="19"/>
              </w:rPr>
            </w:pPr>
          </w:p>
          <w:p w14:paraId="6960A6EF">
            <w:pPr>
              <w:pStyle w:val="8"/>
              <w:spacing w:line="242" w:lineRule="auto"/>
              <w:ind w:left="186" w:right="182"/>
              <w:jc w:val="both"/>
              <w:rPr>
                <w:b/>
                <w:color w:val="auto"/>
                <w:sz w:val="21"/>
              </w:rPr>
            </w:pPr>
            <w:r>
              <w:rPr>
                <w:b/>
                <w:color w:val="auto"/>
                <w:sz w:val="21"/>
              </w:rPr>
              <w:t>一般情形</w:t>
            </w:r>
          </w:p>
        </w:tc>
        <w:tc>
          <w:tcPr>
            <w:tcW w:w="2716" w:type="dxa"/>
            <w:vAlign w:val="top"/>
          </w:tcPr>
          <w:p w14:paraId="69EB91E2">
            <w:pPr>
              <w:pStyle w:val="8"/>
              <w:jc w:val="both"/>
              <w:rPr>
                <w:rFonts w:ascii="Times New Roman"/>
                <w:color w:val="auto"/>
                <w:sz w:val="20"/>
              </w:rPr>
            </w:pPr>
          </w:p>
          <w:p w14:paraId="41D1FF2D">
            <w:pPr>
              <w:pStyle w:val="8"/>
              <w:spacing w:before="1"/>
              <w:jc w:val="both"/>
              <w:rPr>
                <w:rFonts w:ascii="Times New Roman"/>
                <w:color w:val="auto"/>
                <w:sz w:val="23"/>
              </w:rPr>
            </w:pPr>
          </w:p>
          <w:p w14:paraId="11FFAF0D">
            <w:pPr>
              <w:pStyle w:val="8"/>
              <w:spacing w:line="242" w:lineRule="auto"/>
              <w:ind w:left="107" w:right="98"/>
              <w:jc w:val="both"/>
              <w:rPr>
                <w:color w:val="auto"/>
                <w:sz w:val="21"/>
              </w:rPr>
            </w:pPr>
            <w:r>
              <w:rPr>
                <w:color w:val="auto"/>
                <w:spacing w:val="-28"/>
                <w:sz w:val="21"/>
              </w:rPr>
              <w:t xml:space="preserve">处 </w:t>
            </w:r>
            <w:r>
              <w:rPr>
                <w:color w:val="auto"/>
                <w:sz w:val="21"/>
              </w:rPr>
              <w:t>0.2</w:t>
            </w:r>
            <w:r>
              <w:rPr>
                <w:color w:val="auto"/>
                <w:spacing w:val="-21"/>
                <w:sz w:val="21"/>
              </w:rPr>
              <w:t xml:space="preserve"> 万元以上 </w:t>
            </w:r>
            <w:r>
              <w:rPr>
                <w:color w:val="auto"/>
                <w:sz w:val="21"/>
              </w:rPr>
              <w:t>2</w:t>
            </w:r>
            <w:r>
              <w:rPr>
                <w:color w:val="auto"/>
                <w:spacing w:val="-17"/>
                <w:sz w:val="21"/>
              </w:rPr>
              <w:t xml:space="preserve"> 万元以下</w:t>
            </w:r>
            <w:r>
              <w:rPr>
                <w:color w:val="auto"/>
                <w:sz w:val="21"/>
              </w:rPr>
              <w:t>罚款。</w:t>
            </w:r>
          </w:p>
        </w:tc>
        <w:tc>
          <w:tcPr>
            <w:tcW w:w="2715" w:type="dxa"/>
            <w:vAlign w:val="top"/>
          </w:tcPr>
          <w:p w14:paraId="208F825A">
            <w:pPr>
              <w:pStyle w:val="8"/>
              <w:jc w:val="both"/>
              <w:rPr>
                <w:rFonts w:ascii="Times New Roman"/>
                <w:color w:val="auto"/>
                <w:sz w:val="20"/>
              </w:rPr>
            </w:pPr>
          </w:p>
          <w:p w14:paraId="2326386C">
            <w:pPr>
              <w:pStyle w:val="8"/>
              <w:spacing w:before="1"/>
              <w:jc w:val="both"/>
              <w:rPr>
                <w:rFonts w:ascii="Times New Roman"/>
                <w:color w:val="auto"/>
                <w:sz w:val="23"/>
              </w:rPr>
            </w:pPr>
          </w:p>
          <w:p w14:paraId="205FA5AF">
            <w:pPr>
              <w:pStyle w:val="8"/>
              <w:spacing w:line="242" w:lineRule="auto"/>
              <w:ind w:left="106" w:right="96"/>
              <w:jc w:val="both"/>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4.4</w:t>
            </w:r>
            <w:r>
              <w:rPr>
                <w:color w:val="auto"/>
                <w:spacing w:val="-16"/>
                <w:sz w:val="21"/>
              </w:rPr>
              <w:t xml:space="preserve"> 万元以下</w:t>
            </w:r>
            <w:r>
              <w:rPr>
                <w:color w:val="auto"/>
                <w:sz w:val="21"/>
              </w:rPr>
              <w:t>罚款。</w:t>
            </w:r>
          </w:p>
        </w:tc>
        <w:tc>
          <w:tcPr>
            <w:tcW w:w="2718" w:type="dxa"/>
            <w:vAlign w:val="top"/>
          </w:tcPr>
          <w:p w14:paraId="6E46827C">
            <w:pPr>
              <w:pStyle w:val="8"/>
              <w:jc w:val="both"/>
              <w:rPr>
                <w:rFonts w:ascii="Times New Roman"/>
                <w:color w:val="auto"/>
                <w:sz w:val="20"/>
              </w:rPr>
            </w:pPr>
          </w:p>
          <w:p w14:paraId="384A0BC1">
            <w:pPr>
              <w:pStyle w:val="8"/>
              <w:spacing w:before="1"/>
              <w:jc w:val="both"/>
              <w:rPr>
                <w:rFonts w:ascii="Times New Roman"/>
                <w:color w:val="auto"/>
                <w:sz w:val="23"/>
              </w:rPr>
            </w:pPr>
          </w:p>
          <w:p w14:paraId="0A00596F">
            <w:pPr>
              <w:pStyle w:val="8"/>
              <w:spacing w:line="242" w:lineRule="auto"/>
              <w:ind w:left="105" w:right="99"/>
              <w:jc w:val="both"/>
              <w:rPr>
                <w:color w:val="auto"/>
                <w:sz w:val="21"/>
              </w:rPr>
            </w:pPr>
            <w:r>
              <w:rPr>
                <w:color w:val="auto"/>
                <w:spacing w:val="-28"/>
                <w:sz w:val="21"/>
              </w:rPr>
              <w:t xml:space="preserve">处 </w:t>
            </w:r>
            <w:r>
              <w:rPr>
                <w:color w:val="auto"/>
                <w:sz w:val="21"/>
              </w:rPr>
              <w:t>4.4</w:t>
            </w:r>
            <w:r>
              <w:rPr>
                <w:color w:val="auto"/>
                <w:spacing w:val="-20"/>
                <w:sz w:val="21"/>
              </w:rPr>
              <w:t xml:space="preserve"> 万元以上 </w:t>
            </w:r>
            <w:r>
              <w:rPr>
                <w:color w:val="auto"/>
                <w:sz w:val="21"/>
              </w:rPr>
              <w:t>7.6</w:t>
            </w:r>
            <w:r>
              <w:rPr>
                <w:color w:val="auto"/>
                <w:spacing w:val="-19"/>
                <w:sz w:val="21"/>
              </w:rPr>
              <w:t xml:space="preserve"> 万元以</w:t>
            </w:r>
            <w:r>
              <w:rPr>
                <w:color w:val="auto"/>
                <w:spacing w:val="-1"/>
                <w:sz w:val="21"/>
              </w:rPr>
              <w:t>下罚款。</w:t>
            </w:r>
          </w:p>
        </w:tc>
        <w:tc>
          <w:tcPr>
            <w:tcW w:w="3901" w:type="dxa"/>
            <w:vAlign w:val="top"/>
          </w:tcPr>
          <w:p w14:paraId="1CC8BC6A">
            <w:pPr>
              <w:pStyle w:val="8"/>
              <w:jc w:val="both"/>
              <w:rPr>
                <w:rFonts w:ascii="Times New Roman"/>
                <w:color w:val="auto"/>
                <w:sz w:val="20"/>
              </w:rPr>
            </w:pPr>
          </w:p>
          <w:p w14:paraId="75F4DDFD">
            <w:pPr>
              <w:pStyle w:val="8"/>
              <w:jc w:val="both"/>
              <w:rPr>
                <w:rFonts w:ascii="Times New Roman"/>
                <w:color w:val="auto"/>
                <w:sz w:val="20"/>
              </w:rPr>
            </w:pPr>
          </w:p>
          <w:p w14:paraId="1FEFDCA1">
            <w:pPr>
              <w:pStyle w:val="8"/>
              <w:spacing w:before="170"/>
              <w:ind w:left="102"/>
              <w:jc w:val="both"/>
              <w:rPr>
                <w:color w:val="auto"/>
                <w:sz w:val="21"/>
              </w:rPr>
            </w:pPr>
            <w:r>
              <w:rPr>
                <w:color w:val="auto"/>
                <w:sz w:val="21"/>
              </w:rPr>
              <w:t>处 7.6 万元以上 10 万元以下罚款。</w:t>
            </w:r>
          </w:p>
        </w:tc>
      </w:tr>
      <w:tr w14:paraId="3F270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1" w:hRule="atLeast"/>
        </w:trPr>
        <w:tc>
          <w:tcPr>
            <w:tcW w:w="562" w:type="dxa"/>
            <w:vMerge w:val="continue"/>
            <w:tcBorders>
              <w:top w:val="nil"/>
            </w:tcBorders>
            <w:vAlign w:val="top"/>
          </w:tcPr>
          <w:p w14:paraId="3377D276">
            <w:pPr>
              <w:jc w:val="both"/>
              <w:rPr>
                <w:color w:val="auto"/>
                <w:sz w:val="2"/>
                <w:szCs w:val="2"/>
              </w:rPr>
            </w:pPr>
          </w:p>
        </w:tc>
        <w:tc>
          <w:tcPr>
            <w:tcW w:w="593" w:type="dxa"/>
            <w:vMerge w:val="continue"/>
            <w:tcBorders>
              <w:top w:val="nil"/>
            </w:tcBorders>
            <w:vAlign w:val="top"/>
          </w:tcPr>
          <w:p w14:paraId="6F0F0DCC">
            <w:pPr>
              <w:jc w:val="both"/>
              <w:rPr>
                <w:color w:val="auto"/>
                <w:sz w:val="2"/>
                <w:szCs w:val="2"/>
              </w:rPr>
            </w:pPr>
          </w:p>
        </w:tc>
        <w:tc>
          <w:tcPr>
            <w:tcW w:w="591" w:type="dxa"/>
            <w:vAlign w:val="top"/>
          </w:tcPr>
          <w:p w14:paraId="2DFFEFAB">
            <w:pPr>
              <w:pStyle w:val="8"/>
              <w:spacing w:before="87" w:line="242" w:lineRule="auto"/>
              <w:ind w:left="186" w:right="182"/>
              <w:jc w:val="both"/>
              <w:rPr>
                <w:b/>
                <w:color w:val="auto"/>
                <w:sz w:val="21"/>
              </w:rPr>
            </w:pPr>
            <w:r>
              <w:rPr>
                <w:b/>
                <w:color w:val="auto"/>
                <w:sz w:val="21"/>
              </w:rPr>
              <w:t>情节严重的</w:t>
            </w:r>
          </w:p>
        </w:tc>
        <w:tc>
          <w:tcPr>
            <w:tcW w:w="2716" w:type="dxa"/>
            <w:vAlign w:val="top"/>
          </w:tcPr>
          <w:p w14:paraId="571B65A8">
            <w:pPr>
              <w:pStyle w:val="8"/>
              <w:jc w:val="both"/>
              <w:rPr>
                <w:rFonts w:ascii="Times New Roman"/>
                <w:color w:val="auto"/>
                <w:sz w:val="20"/>
              </w:rPr>
            </w:pPr>
          </w:p>
        </w:tc>
        <w:tc>
          <w:tcPr>
            <w:tcW w:w="2715" w:type="dxa"/>
            <w:vAlign w:val="top"/>
          </w:tcPr>
          <w:p w14:paraId="0D0551DB">
            <w:pPr>
              <w:pStyle w:val="8"/>
              <w:jc w:val="both"/>
              <w:rPr>
                <w:rFonts w:ascii="Times New Roman"/>
                <w:color w:val="auto"/>
                <w:sz w:val="20"/>
              </w:rPr>
            </w:pPr>
          </w:p>
          <w:p w14:paraId="2E1FDE38">
            <w:pPr>
              <w:pStyle w:val="8"/>
              <w:jc w:val="both"/>
              <w:rPr>
                <w:rFonts w:ascii="Times New Roman"/>
                <w:color w:val="auto"/>
                <w:sz w:val="23"/>
              </w:rPr>
            </w:pPr>
          </w:p>
          <w:p w14:paraId="6E7AC3F7">
            <w:pPr>
              <w:pStyle w:val="8"/>
              <w:spacing w:before="1" w:line="242" w:lineRule="auto"/>
              <w:ind w:left="106" w:right="96"/>
              <w:jc w:val="both"/>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22</w:t>
            </w:r>
            <w:r>
              <w:rPr>
                <w:color w:val="auto"/>
                <w:spacing w:val="-16"/>
                <w:sz w:val="21"/>
              </w:rPr>
              <w:t xml:space="preserve"> 万元以下</w:t>
            </w:r>
            <w:r>
              <w:rPr>
                <w:color w:val="auto"/>
                <w:sz w:val="21"/>
              </w:rPr>
              <w:t>罚款。</w:t>
            </w:r>
          </w:p>
        </w:tc>
        <w:tc>
          <w:tcPr>
            <w:tcW w:w="2718" w:type="dxa"/>
            <w:vAlign w:val="top"/>
          </w:tcPr>
          <w:p w14:paraId="3AEBF465">
            <w:pPr>
              <w:pStyle w:val="8"/>
              <w:jc w:val="both"/>
              <w:rPr>
                <w:rFonts w:ascii="Times New Roman"/>
                <w:color w:val="auto"/>
                <w:sz w:val="20"/>
              </w:rPr>
            </w:pPr>
          </w:p>
          <w:p w14:paraId="246B1348">
            <w:pPr>
              <w:pStyle w:val="8"/>
              <w:jc w:val="both"/>
              <w:rPr>
                <w:rFonts w:ascii="Times New Roman"/>
                <w:color w:val="auto"/>
                <w:sz w:val="23"/>
              </w:rPr>
            </w:pPr>
          </w:p>
          <w:p w14:paraId="5F5ABB49">
            <w:pPr>
              <w:pStyle w:val="8"/>
              <w:spacing w:before="1" w:line="242" w:lineRule="auto"/>
              <w:ind w:left="105" w:right="99"/>
              <w:jc w:val="both"/>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万元以下</w:t>
            </w:r>
            <w:r>
              <w:rPr>
                <w:color w:val="auto"/>
                <w:sz w:val="21"/>
              </w:rPr>
              <w:t>罚款。</w:t>
            </w:r>
          </w:p>
        </w:tc>
        <w:tc>
          <w:tcPr>
            <w:tcW w:w="3901" w:type="dxa"/>
            <w:vAlign w:val="top"/>
          </w:tcPr>
          <w:p w14:paraId="5983F39A">
            <w:pPr>
              <w:pStyle w:val="8"/>
              <w:jc w:val="both"/>
              <w:rPr>
                <w:rFonts w:ascii="Times New Roman"/>
                <w:color w:val="auto"/>
                <w:sz w:val="20"/>
              </w:rPr>
            </w:pPr>
          </w:p>
          <w:p w14:paraId="4FFEC941">
            <w:pPr>
              <w:pStyle w:val="8"/>
              <w:jc w:val="both"/>
              <w:rPr>
                <w:rFonts w:ascii="Times New Roman"/>
                <w:color w:val="auto"/>
                <w:sz w:val="20"/>
              </w:rPr>
            </w:pPr>
          </w:p>
          <w:p w14:paraId="319F4215">
            <w:pPr>
              <w:pStyle w:val="8"/>
              <w:spacing w:before="172"/>
              <w:ind w:left="102"/>
              <w:jc w:val="both"/>
              <w:rPr>
                <w:color w:val="auto"/>
                <w:sz w:val="21"/>
              </w:rPr>
            </w:pPr>
            <w:r>
              <w:rPr>
                <w:color w:val="auto"/>
                <w:sz w:val="21"/>
              </w:rPr>
              <w:t>处 38 万元以上 50 万元以下罚款。</w:t>
            </w:r>
          </w:p>
        </w:tc>
      </w:tr>
    </w:tbl>
    <w:p w14:paraId="33A66540">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6"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593"/>
        <w:gridCol w:w="591"/>
        <w:gridCol w:w="2716"/>
        <w:gridCol w:w="2715"/>
        <w:gridCol w:w="2718"/>
        <w:gridCol w:w="3901"/>
      </w:tblGrid>
      <w:tr w14:paraId="2B8B7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562" w:type="dxa"/>
            <w:vMerge w:val="restart"/>
            <w:vAlign w:val="top"/>
          </w:tcPr>
          <w:p w14:paraId="60A13EF8">
            <w:pPr>
              <w:pStyle w:val="8"/>
              <w:jc w:val="both"/>
              <w:rPr>
                <w:rFonts w:ascii="Times New Roman"/>
                <w:color w:val="auto"/>
                <w:sz w:val="20"/>
              </w:rPr>
            </w:pPr>
          </w:p>
          <w:p w14:paraId="2B355940">
            <w:pPr>
              <w:pStyle w:val="8"/>
              <w:jc w:val="both"/>
              <w:rPr>
                <w:rFonts w:ascii="Times New Roman"/>
                <w:color w:val="auto"/>
                <w:sz w:val="20"/>
              </w:rPr>
            </w:pPr>
          </w:p>
          <w:p w14:paraId="5FAA89B1">
            <w:pPr>
              <w:pStyle w:val="8"/>
              <w:jc w:val="both"/>
              <w:rPr>
                <w:rFonts w:ascii="Times New Roman"/>
                <w:color w:val="auto"/>
                <w:sz w:val="20"/>
              </w:rPr>
            </w:pPr>
          </w:p>
          <w:p w14:paraId="39E3E8A4">
            <w:pPr>
              <w:pStyle w:val="8"/>
              <w:jc w:val="both"/>
              <w:rPr>
                <w:rFonts w:ascii="Times New Roman"/>
                <w:color w:val="auto"/>
                <w:sz w:val="20"/>
              </w:rPr>
            </w:pPr>
          </w:p>
          <w:p w14:paraId="14BBE0AC">
            <w:pPr>
              <w:pStyle w:val="8"/>
              <w:jc w:val="both"/>
              <w:rPr>
                <w:rFonts w:ascii="Times New Roman"/>
                <w:color w:val="auto"/>
                <w:sz w:val="20"/>
              </w:rPr>
            </w:pPr>
          </w:p>
          <w:p w14:paraId="7872EC44">
            <w:pPr>
              <w:pStyle w:val="8"/>
              <w:jc w:val="both"/>
              <w:rPr>
                <w:rFonts w:ascii="Times New Roman"/>
                <w:color w:val="auto"/>
                <w:sz w:val="20"/>
              </w:rPr>
            </w:pPr>
          </w:p>
          <w:p w14:paraId="27EF7A4E">
            <w:pPr>
              <w:pStyle w:val="8"/>
              <w:jc w:val="both"/>
              <w:rPr>
                <w:rFonts w:ascii="Times New Roman"/>
                <w:color w:val="auto"/>
                <w:sz w:val="20"/>
              </w:rPr>
            </w:pPr>
          </w:p>
          <w:p w14:paraId="5F5B9312">
            <w:pPr>
              <w:pStyle w:val="8"/>
              <w:jc w:val="both"/>
              <w:rPr>
                <w:rFonts w:ascii="Times New Roman"/>
                <w:color w:val="auto"/>
                <w:sz w:val="20"/>
              </w:rPr>
            </w:pPr>
          </w:p>
          <w:p w14:paraId="537E9971">
            <w:pPr>
              <w:pStyle w:val="8"/>
              <w:jc w:val="both"/>
              <w:rPr>
                <w:rFonts w:ascii="Times New Roman"/>
                <w:color w:val="auto"/>
                <w:sz w:val="20"/>
              </w:rPr>
            </w:pPr>
          </w:p>
          <w:p w14:paraId="22E1A04B">
            <w:pPr>
              <w:pStyle w:val="8"/>
              <w:jc w:val="both"/>
              <w:rPr>
                <w:rFonts w:ascii="Times New Roman"/>
                <w:color w:val="auto"/>
                <w:sz w:val="20"/>
              </w:rPr>
            </w:pPr>
          </w:p>
          <w:p w14:paraId="4E47CFBB">
            <w:pPr>
              <w:pStyle w:val="8"/>
              <w:jc w:val="both"/>
              <w:rPr>
                <w:rFonts w:ascii="Times New Roman"/>
                <w:color w:val="auto"/>
                <w:sz w:val="20"/>
              </w:rPr>
            </w:pPr>
          </w:p>
          <w:p w14:paraId="7BF160E9">
            <w:pPr>
              <w:pStyle w:val="8"/>
              <w:jc w:val="both"/>
              <w:rPr>
                <w:rFonts w:ascii="Times New Roman"/>
                <w:color w:val="auto"/>
                <w:sz w:val="20"/>
              </w:rPr>
            </w:pPr>
          </w:p>
          <w:p w14:paraId="36E175BF">
            <w:pPr>
              <w:pStyle w:val="8"/>
              <w:jc w:val="both"/>
              <w:rPr>
                <w:rFonts w:ascii="Times New Roman"/>
                <w:color w:val="auto"/>
                <w:sz w:val="20"/>
              </w:rPr>
            </w:pPr>
          </w:p>
          <w:p w14:paraId="46129046">
            <w:pPr>
              <w:pStyle w:val="8"/>
              <w:jc w:val="both"/>
              <w:rPr>
                <w:rFonts w:ascii="Times New Roman"/>
                <w:color w:val="auto"/>
                <w:sz w:val="20"/>
              </w:rPr>
            </w:pPr>
          </w:p>
          <w:p w14:paraId="51CF1230">
            <w:pPr>
              <w:pStyle w:val="8"/>
              <w:jc w:val="both"/>
              <w:rPr>
                <w:rFonts w:ascii="Times New Roman"/>
                <w:color w:val="auto"/>
                <w:sz w:val="20"/>
              </w:rPr>
            </w:pPr>
          </w:p>
          <w:p w14:paraId="7904F62F">
            <w:pPr>
              <w:pStyle w:val="8"/>
              <w:spacing w:before="4"/>
              <w:jc w:val="both"/>
              <w:rPr>
                <w:rFonts w:ascii="Times New Roman"/>
                <w:color w:val="auto"/>
                <w:sz w:val="18"/>
              </w:rPr>
            </w:pPr>
          </w:p>
          <w:p w14:paraId="4CB2D6A2">
            <w:pPr>
              <w:pStyle w:val="8"/>
              <w:spacing w:before="1"/>
              <w:ind w:left="175"/>
              <w:jc w:val="both"/>
              <w:rPr>
                <w:b/>
                <w:color w:val="auto"/>
                <w:sz w:val="21"/>
              </w:rPr>
            </w:pPr>
            <w:r>
              <w:rPr>
                <w:b/>
                <w:color w:val="auto"/>
                <w:sz w:val="21"/>
              </w:rPr>
              <w:t>11</w:t>
            </w:r>
          </w:p>
        </w:tc>
        <w:tc>
          <w:tcPr>
            <w:tcW w:w="1184" w:type="dxa"/>
            <w:gridSpan w:val="2"/>
            <w:vAlign w:val="top"/>
          </w:tcPr>
          <w:p w14:paraId="0B3AFD5B">
            <w:pPr>
              <w:pStyle w:val="8"/>
              <w:spacing w:before="3"/>
              <w:jc w:val="both"/>
              <w:rPr>
                <w:rFonts w:ascii="Times New Roman"/>
                <w:color w:val="auto"/>
                <w:sz w:val="20"/>
              </w:rPr>
            </w:pPr>
          </w:p>
          <w:p w14:paraId="1E3E8782">
            <w:pPr>
              <w:pStyle w:val="8"/>
              <w:spacing w:before="1"/>
              <w:ind w:left="170"/>
              <w:jc w:val="both"/>
              <w:rPr>
                <w:b/>
                <w:color w:val="auto"/>
                <w:sz w:val="21"/>
              </w:rPr>
            </w:pPr>
            <w:r>
              <w:rPr>
                <w:b/>
                <w:color w:val="auto"/>
                <w:sz w:val="21"/>
              </w:rPr>
              <w:t>违法行为</w:t>
            </w:r>
          </w:p>
        </w:tc>
        <w:tc>
          <w:tcPr>
            <w:tcW w:w="12050" w:type="dxa"/>
            <w:gridSpan w:val="4"/>
            <w:vAlign w:val="top"/>
          </w:tcPr>
          <w:p w14:paraId="2CB9D0F7">
            <w:pPr>
              <w:pStyle w:val="8"/>
              <w:spacing w:before="3"/>
              <w:jc w:val="both"/>
              <w:rPr>
                <w:rFonts w:ascii="Times New Roman"/>
                <w:color w:val="auto"/>
                <w:sz w:val="20"/>
              </w:rPr>
            </w:pPr>
          </w:p>
          <w:p w14:paraId="15E364FE">
            <w:pPr>
              <w:pStyle w:val="8"/>
              <w:spacing w:before="1"/>
              <w:ind w:left="527"/>
              <w:jc w:val="both"/>
              <w:rPr>
                <w:color w:val="auto"/>
                <w:sz w:val="21"/>
              </w:rPr>
            </w:pPr>
            <w:r>
              <w:rPr>
                <w:color w:val="auto"/>
                <w:sz w:val="21"/>
              </w:rPr>
              <w:t>化妆品广告违反本条例规定的</w:t>
            </w:r>
          </w:p>
        </w:tc>
      </w:tr>
      <w:tr w14:paraId="26442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6" w:hRule="atLeast"/>
        </w:trPr>
        <w:tc>
          <w:tcPr>
            <w:tcW w:w="562" w:type="dxa"/>
            <w:vMerge w:val="continue"/>
            <w:tcBorders>
              <w:top w:val="nil"/>
            </w:tcBorders>
            <w:vAlign w:val="top"/>
          </w:tcPr>
          <w:p w14:paraId="29FC722A">
            <w:pPr>
              <w:jc w:val="both"/>
              <w:rPr>
                <w:color w:val="auto"/>
                <w:sz w:val="2"/>
                <w:szCs w:val="2"/>
              </w:rPr>
            </w:pPr>
          </w:p>
        </w:tc>
        <w:tc>
          <w:tcPr>
            <w:tcW w:w="1184" w:type="dxa"/>
            <w:gridSpan w:val="2"/>
            <w:vAlign w:val="top"/>
          </w:tcPr>
          <w:p w14:paraId="4BEB1991">
            <w:pPr>
              <w:pStyle w:val="8"/>
              <w:jc w:val="both"/>
              <w:rPr>
                <w:rFonts w:ascii="Times New Roman"/>
                <w:color w:val="auto"/>
                <w:sz w:val="20"/>
              </w:rPr>
            </w:pPr>
          </w:p>
          <w:p w14:paraId="49B8F4AF">
            <w:pPr>
              <w:pStyle w:val="8"/>
              <w:jc w:val="both"/>
              <w:rPr>
                <w:rFonts w:ascii="Times New Roman"/>
                <w:color w:val="auto"/>
                <w:sz w:val="20"/>
              </w:rPr>
            </w:pPr>
          </w:p>
          <w:p w14:paraId="682615C0">
            <w:pPr>
              <w:pStyle w:val="8"/>
              <w:jc w:val="both"/>
              <w:rPr>
                <w:rFonts w:ascii="Times New Roman"/>
                <w:color w:val="auto"/>
                <w:sz w:val="20"/>
              </w:rPr>
            </w:pPr>
          </w:p>
          <w:p w14:paraId="160758DD">
            <w:pPr>
              <w:pStyle w:val="8"/>
              <w:jc w:val="both"/>
              <w:rPr>
                <w:rFonts w:ascii="Times New Roman"/>
                <w:color w:val="auto"/>
                <w:sz w:val="20"/>
              </w:rPr>
            </w:pPr>
          </w:p>
          <w:p w14:paraId="611E6A7D">
            <w:pPr>
              <w:pStyle w:val="8"/>
              <w:jc w:val="both"/>
              <w:rPr>
                <w:rFonts w:ascii="Times New Roman"/>
                <w:color w:val="auto"/>
                <w:sz w:val="20"/>
              </w:rPr>
            </w:pPr>
          </w:p>
          <w:p w14:paraId="0B51C02A">
            <w:pPr>
              <w:pStyle w:val="8"/>
              <w:spacing w:before="133"/>
              <w:ind w:left="170"/>
              <w:jc w:val="both"/>
              <w:rPr>
                <w:b/>
                <w:color w:val="auto"/>
                <w:sz w:val="21"/>
              </w:rPr>
            </w:pPr>
            <w:r>
              <w:rPr>
                <w:b/>
                <w:color w:val="auto"/>
                <w:sz w:val="21"/>
              </w:rPr>
              <w:t>处罚依据</w:t>
            </w:r>
          </w:p>
        </w:tc>
        <w:tc>
          <w:tcPr>
            <w:tcW w:w="12050" w:type="dxa"/>
            <w:gridSpan w:val="4"/>
            <w:vAlign w:val="top"/>
          </w:tcPr>
          <w:p w14:paraId="4EC9DC7B">
            <w:pPr>
              <w:pStyle w:val="8"/>
              <w:spacing w:before="58" w:line="242" w:lineRule="auto"/>
              <w:ind w:left="107" w:right="104" w:firstLine="420"/>
              <w:jc w:val="both"/>
              <w:rPr>
                <w:color w:val="auto"/>
                <w:sz w:val="21"/>
              </w:rPr>
            </w:pPr>
            <w:r>
              <w:rPr>
                <w:color w:val="auto"/>
                <w:sz w:val="21"/>
              </w:rPr>
              <w:t>根据《化妆品监督管理条例》第六十九条规定，化妆品广告违反本条例规定的，依照《中华人民共和国广告法》的规定给予处罚；采用其他方式对化妆品作虚假或者引人误解的宣传的，依照有关法律的规定给予处罚；构成犯罪的，依法追究刑事责任。</w:t>
            </w:r>
          </w:p>
          <w:p w14:paraId="0A37BD38">
            <w:pPr>
              <w:pStyle w:val="8"/>
              <w:spacing w:before="2" w:line="242" w:lineRule="auto"/>
              <w:ind w:left="107" w:right="103" w:firstLine="420"/>
              <w:jc w:val="both"/>
              <w:rPr>
                <w:color w:val="auto"/>
                <w:sz w:val="21"/>
              </w:rPr>
            </w:pPr>
            <w:r>
              <w:rPr>
                <w:color w:val="auto"/>
                <w:spacing w:val="-1"/>
                <w:sz w:val="21"/>
              </w:rPr>
              <w:t>《中华人民共和国广告法》第五十八条 有下列行为之一的，由市场监督管理部门责令停止发布广告，责令广告主在相应范围内消除影响，处广告费用一倍以上三倍以下的罚款，广告费用无法计算或者明显偏低的，处十万元以上二十万元以下的罚款； 情节严重的，处广告费用三倍以上五倍以下的罚款，广告费用无法计算或者明显偏低的，处二十万元以上一百万元以下的罚款，</w:t>
            </w:r>
            <w:r>
              <w:rPr>
                <w:color w:val="auto"/>
                <w:spacing w:val="-3"/>
                <w:sz w:val="21"/>
              </w:rPr>
              <w:t>可以吊销营业执照，并由广告审查机关撤销广告审查批准文件、一年内不受理其广告审查申请：</w:t>
            </w:r>
          </w:p>
          <w:p w14:paraId="2BA5DF42">
            <w:pPr>
              <w:pStyle w:val="8"/>
              <w:spacing w:before="3"/>
              <w:ind w:left="527"/>
              <w:jc w:val="both"/>
              <w:rPr>
                <w:color w:val="auto"/>
                <w:sz w:val="21"/>
              </w:rPr>
            </w:pPr>
            <w:r>
              <w:rPr>
                <w:color w:val="auto"/>
                <w:sz w:val="21"/>
              </w:rPr>
              <w:t>（一）违反本法第十六条规定发布医疗、药品、医疗器械广告的；</w:t>
            </w:r>
          </w:p>
          <w:p w14:paraId="6893D9C0">
            <w:pPr>
              <w:pStyle w:val="8"/>
              <w:spacing w:before="2" w:line="244" w:lineRule="auto"/>
              <w:ind w:left="107" w:right="103" w:firstLine="420"/>
              <w:jc w:val="both"/>
              <w:rPr>
                <w:color w:val="auto"/>
                <w:sz w:val="21"/>
              </w:rPr>
            </w:pPr>
            <w:r>
              <w:rPr>
                <w:color w:val="auto"/>
                <w:sz w:val="21"/>
              </w:rPr>
              <w:t>（二）违反本法第十七条规定，在广告中涉及疾病治疗功能，以及使用医疗用语或者易使推销的商品与药品、医疗器械相混淆的用语的；</w:t>
            </w:r>
          </w:p>
          <w:p w14:paraId="66D7BAB7">
            <w:pPr>
              <w:pStyle w:val="8"/>
              <w:spacing w:line="265" w:lineRule="exact"/>
              <w:ind w:left="527"/>
              <w:jc w:val="both"/>
              <w:rPr>
                <w:color w:val="auto"/>
                <w:sz w:val="21"/>
              </w:rPr>
            </w:pPr>
            <w:r>
              <w:rPr>
                <w:color w:val="auto"/>
                <w:sz w:val="21"/>
              </w:rPr>
              <w:t>（十四）违反本法第四十六条规定，未经审查发布广告的。</w:t>
            </w:r>
          </w:p>
        </w:tc>
      </w:tr>
      <w:tr w14:paraId="37119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2" w:type="dxa"/>
            <w:vMerge w:val="continue"/>
            <w:tcBorders>
              <w:top w:val="nil"/>
            </w:tcBorders>
            <w:vAlign w:val="top"/>
          </w:tcPr>
          <w:p w14:paraId="42191CA3">
            <w:pPr>
              <w:jc w:val="both"/>
              <w:rPr>
                <w:color w:val="auto"/>
                <w:sz w:val="2"/>
                <w:szCs w:val="2"/>
              </w:rPr>
            </w:pPr>
          </w:p>
        </w:tc>
        <w:tc>
          <w:tcPr>
            <w:tcW w:w="1184" w:type="dxa"/>
            <w:gridSpan w:val="2"/>
            <w:vAlign w:val="top"/>
          </w:tcPr>
          <w:p w14:paraId="3E38C3F9">
            <w:pPr>
              <w:pStyle w:val="8"/>
              <w:spacing w:before="147"/>
              <w:ind w:left="170"/>
              <w:jc w:val="both"/>
              <w:rPr>
                <w:b/>
                <w:color w:val="auto"/>
                <w:sz w:val="21"/>
              </w:rPr>
            </w:pPr>
            <w:r>
              <w:rPr>
                <w:b/>
                <w:color w:val="auto"/>
                <w:sz w:val="21"/>
              </w:rPr>
              <w:t>裁量等级</w:t>
            </w:r>
          </w:p>
        </w:tc>
        <w:tc>
          <w:tcPr>
            <w:tcW w:w="2716" w:type="dxa"/>
            <w:vAlign w:val="top"/>
          </w:tcPr>
          <w:p w14:paraId="11A259D5">
            <w:pPr>
              <w:pStyle w:val="8"/>
              <w:spacing w:before="147"/>
              <w:ind w:left="107"/>
              <w:jc w:val="both"/>
              <w:rPr>
                <w:b/>
                <w:color w:val="auto"/>
                <w:sz w:val="21"/>
              </w:rPr>
            </w:pPr>
            <w:r>
              <w:rPr>
                <w:b/>
                <w:color w:val="auto"/>
                <w:sz w:val="21"/>
              </w:rPr>
              <w:t>减轻</w:t>
            </w:r>
          </w:p>
        </w:tc>
        <w:tc>
          <w:tcPr>
            <w:tcW w:w="2715" w:type="dxa"/>
            <w:vAlign w:val="top"/>
          </w:tcPr>
          <w:p w14:paraId="24779A99">
            <w:pPr>
              <w:pStyle w:val="8"/>
              <w:spacing w:before="147"/>
              <w:ind w:left="106"/>
              <w:jc w:val="both"/>
              <w:rPr>
                <w:b/>
                <w:color w:val="auto"/>
                <w:sz w:val="21"/>
              </w:rPr>
            </w:pPr>
            <w:r>
              <w:rPr>
                <w:b/>
                <w:color w:val="auto"/>
                <w:sz w:val="21"/>
              </w:rPr>
              <w:t>从轻</w:t>
            </w:r>
          </w:p>
        </w:tc>
        <w:tc>
          <w:tcPr>
            <w:tcW w:w="2718" w:type="dxa"/>
            <w:vAlign w:val="top"/>
          </w:tcPr>
          <w:p w14:paraId="161EE4E6">
            <w:pPr>
              <w:pStyle w:val="8"/>
              <w:spacing w:before="147"/>
              <w:ind w:left="105"/>
              <w:jc w:val="both"/>
              <w:rPr>
                <w:b/>
                <w:color w:val="auto"/>
                <w:sz w:val="21"/>
              </w:rPr>
            </w:pPr>
            <w:r>
              <w:rPr>
                <w:b/>
                <w:color w:val="auto"/>
                <w:sz w:val="21"/>
              </w:rPr>
              <w:t>一般</w:t>
            </w:r>
          </w:p>
        </w:tc>
        <w:tc>
          <w:tcPr>
            <w:tcW w:w="3901" w:type="dxa"/>
            <w:vAlign w:val="top"/>
          </w:tcPr>
          <w:p w14:paraId="19FBBAC6">
            <w:pPr>
              <w:pStyle w:val="8"/>
              <w:spacing w:before="147"/>
              <w:ind w:left="102"/>
              <w:jc w:val="both"/>
              <w:rPr>
                <w:b/>
                <w:color w:val="auto"/>
                <w:sz w:val="21"/>
              </w:rPr>
            </w:pPr>
            <w:r>
              <w:rPr>
                <w:b/>
                <w:color w:val="auto"/>
                <w:sz w:val="21"/>
              </w:rPr>
              <w:t>从重</w:t>
            </w:r>
          </w:p>
        </w:tc>
      </w:tr>
      <w:tr w14:paraId="75B7E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562" w:type="dxa"/>
            <w:vMerge w:val="continue"/>
            <w:tcBorders>
              <w:top w:val="nil"/>
            </w:tcBorders>
            <w:vAlign w:val="top"/>
          </w:tcPr>
          <w:p w14:paraId="0BCB4909">
            <w:pPr>
              <w:jc w:val="both"/>
              <w:rPr>
                <w:color w:val="auto"/>
                <w:sz w:val="2"/>
                <w:szCs w:val="2"/>
              </w:rPr>
            </w:pPr>
          </w:p>
        </w:tc>
        <w:tc>
          <w:tcPr>
            <w:tcW w:w="1184" w:type="dxa"/>
            <w:gridSpan w:val="2"/>
            <w:vAlign w:val="top"/>
          </w:tcPr>
          <w:p w14:paraId="165BB33C">
            <w:pPr>
              <w:pStyle w:val="8"/>
              <w:spacing w:before="4"/>
              <w:jc w:val="both"/>
              <w:rPr>
                <w:rFonts w:ascii="Times New Roman"/>
                <w:color w:val="auto"/>
                <w:sz w:val="20"/>
              </w:rPr>
            </w:pPr>
          </w:p>
          <w:p w14:paraId="3A4BA482">
            <w:pPr>
              <w:pStyle w:val="8"/>
              <w:ind w:left="170"/>
              <w:jc w:val="both"/>
              <w:rPr>
                <w:b/>
                <w:color w:val="auto"/>
                <w:sz w:val="21"/>
              </w:rPr>
            </w:pPr>
            <w:r>
              <w:rPr>
                <w:b/>
                <w:color w:val="auto"/>
                <w:sz w:val="21"/>
              </w:rPr>
              <w:t>裁量情节</w:t>
            </w:r>
          </w:p>
        </w:tc>
        <w:tc>
          <w:tcPr>
            <w:tcW w:w="2716" w:type="dxa"/>
            <w:vAlign w:val="top"/>
          </w:tcPr>
          <w:p w14:paraId="27F6F8C7">
            <w:pPr>
              <w:pStyle w:val="8"/>
              <w:spacing w:before="97" w:line="244" w:lineRule="auto"/>
              <w:ind w:left="107" w:right="99"/>
              <w:jc w:val="both"/>
              <w:rPr>
                <w:color w:val="auto"/>
                <w:sz w:val="21"/>
              </w:rPr>
            </w:pPr>
            <w:r>
              <w:rPr>
                <w:color w:val="auto"/>
                <w:sz w:val="21"/>
              </w:rPr>
              <w:t>符合裁量规定减轻行政处罚情形的。</w:t>
            </w:r>
          </w:p>
        </w:tc>
        <w:tc>
          <w:tcPr>
            <w:tcW w:w="2715" w:type="dxa"/>
            <w:vAlign w:val="top"/>
          </w:tcPr>
          <w:p w14:paraId="10B02B6E">
            <w:pPr>
              <w:pStyle w:val="8"/>
              <w:spacing w:before="97" w:line="244" w:lineRule="auto"/>
              <w:ind w:left="106" w:right="97"/>
              <w:jc w:val="both"/>
              <w:rPr>
                <w:color w:val="auto"/>
                <w:sz w:val="21"/>
              </w:rPr>
            </w:pPr>
            <w:r>
              <w:rPr>
                <w:color w:val="auto"/>
                <w:sz w:val="21"/>
              </w:rPr>
              <w:t>符合裁量规定从轻行政处罚情形的。</w:t>
            </w:r>
          </w:p>
        </w:tc>
        <w:tc>
          <w:tcPr>
            <w:tcW w:w="2718" w:type="dxa"/>
            <w:vAlign w:val="top"/>
          </w:tcPr>
          <w:p w14:paraId="7943F2CE">
            <w:pPr>
              <w:pStyle w:val="8"/>
              <w:spacing w:before="97" w:line="244" w:lineRule="auto"/>
              <w:ind w:left="105" w:right="101"/>
              <w:jc w:val="both"/>
              <w:rPr>
                <w:color w:val="auto"/>
                <w:sz w:val="21"/>
              </w:rPr>
            </w:pPr>
            <w:r>
              <w:rPr>
                <w:color w:val="auto"/>
                <w:sz w:val="21"/>
              </w:rPr>
              <w:t>符合裁量规定一般行政处罚情形的。</w:t>
            </w:r>
          </w:p>
        </w:tc>
        <w:tc>
          <w:tcPr>
            <w:tcW w:w="3901" w:type="dxa"/>
            <w:vAlign w:val="top"/>
          </w:tcPr>
          <w:p w14:paraId="680E96A6">
            <w:pPr>
              <w:pStyle w:val="8"/>
              <w:spacing w:before="4"/>
              <w:jc w:val="both"/>
              <w:rPr>
                <w:rFonts w:ascii="Times New Roman"/>
                <w:color w:val="auto"/>
                <w:sz w:val="20"/>
              </w:rPr>
            </w:pPr>
          </w:p>
          <w:p w14:paraId="42F09F0C">
            <w:pPr>
              <w:pStyle w:val="8"/>
              <w:ind w:left="102"/>
              <w:jc w:val="both"/>
              <w:rPr>
                <w:color w:val="auto"/>
                <w:sz w:val="21"/>
              </w:rPr>
            </w:pPr>
            <w:r>
              <w:rPr>
                <w:color w:val="auto"/>
                <w:sz w:val="21"/>
              </w:rPr>
              <w:t>符合裁量规定从重行政处罚情形的。</w:t>
            </w:r>
          </w:p>
        </w:tc>
      </w:tr>
      <w:tr w14:paraId="5178C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2" w:hRule="atLeast"/>
        </w:trPr>
        <w:tc>
          <w:tcPr>
            <w:tcW w:w="562" w:type="dxa"/>
            <w:vMerge w:val="continue"/>
            <w:tcBorders>
              <w:top w:val="nil"/>
            </w:tcBorders>
            <w:vAlign w:val="top"/>
          </w:tcPr>
          <w:p w14:paraId="629911D4">
            <w:pPr>
              <w:jc w:val="both"/>
              <w:rPr>
                <w:color w:val="auto"/>
                <w:sz w:val="2"/>
                <w:szCs w:val="2"/>
              </w:rPr>
            </w:pPr>
          </w:p>
        </w:tc>
        <w:tc>
          <w:tcPr>
            <w:tcW w:w="593" w:type="dxa"/>
            <w:vMerge w:val="restart"/>
            <w:vAlign w:val="top"/>
          </w:tcPr>
          <w:p w14:paraId="629A8733">
            <w:pPr>
              <w:pStyle w:val="8"/>
              <w:jc w:val="both"/>
              <w:rPr>
                <w:rFonts w:ascii="Times New Roman"/>
                <w:color w:val="auto"/>
                <w:sz w:val="20"/>
              </w:rPr>
            </w:pPr>
          </w:p>
          <w:p w14:paraId="0BBF4146">
            <w:pPr>
              <w:pStyle w:val="8"/>
              <w:jc w:val="both"/>
              <w:rPr>
                <w:rFonts w:ascii="Times New Roman"/>
                <w:color w:val="auto"/>
                <w:sz w:val="20"/>
              </w:rPr>
            </w:pPr>
          </w:p>
          <w:p w14:paraId="00A9DFC8">
            <w:pPr>
              <w:pStyle w:val="8"/>
              <w:spacing w:before="11"/>
              <w:jc w:val="both"/>
              <w:rPr>
                <w:rFonts w:ascii="Times New Roman"/>
                <w:color w:val="auto"/>
                <w:sz w:val="28"/>
              </w:rPr>
            </w:pPr>
          </w:p>
          <w:p w14:paraId="7865E908">
            <w:pPr>
              <w:pStyle w:val="8"/>
              <w:spacing w:line="242" w:lineRule="auto"/>
              <w:ind w:left="189" w:right="180"/>
              <w:jc w:val="both"/>
              <w:rPr>
                <w:b/>
                <w:color w:val="auto"/>
                <w:sz w:val="21"/>
              </w:rPr>
            </w:pPr>
            <w:r>
              <w:rPr>
                <w:b/>
                <w:color w:val="auto"/>
                <w:sz w:val="21"/>
              </w:rPr>
              <w:t>裁量基准</w:t>
            </w:r>
          </w:p>
        </w:tc>
        <w:tc>
          <w:tcPr>
            <w:tcW w:w="591" w:type="dxa"/>
            <w:vAlign w:val="top"/>
          </w:tcPr>
          <w:p w14:paraId="42D391E5">
            <w:pPr>
              <w:pStyle w:val="8"/>
              <w:spacing w:before="106" w:line="242" w:lineRule="auto"/>
              <w:ind w:left="186" w:right="182"/>
              <w:jc w:val="both"/>
              <w:rPr>
                <w:b/>
                <w:color w:val="auto"/>
                <w:sz w:val="21"/>
              </w:rPr>
            </w:pPr>
            <w:r>
              <w:rPr>
                <w:b/>
                <w:color w:val="auto"/>
                <w:sz w:val="21"/>
              </w:rPr>
              <w:t>一般情形</w:t>
            </w:r>
          </w:p>
        </w:tc>
        <w:tc>
          <w:tcPr>
            <w:tcW w:w="2716" w:type="dxa"/>
            <w:vAlign w:val="top"/>
          </w:tcPr>
          <w:p w14:paraId="1EB82A6F">
            <w:pPr>
              <w:jc w:val="both"/>
              <w:rPr>
                <w:rFonts w:ascii="仿宋" w:hAnsi="仿宋" w:eastAsia="仿宋" w:cs="仿宋"/>
                <w:color w:val="auto"/>
                <w:spacing w:val="-1"/>
                <w:kern w:val="2"/>
                <w:sz w:val="21"/>
                <w:szCs w:val="22"/>
                <w:lang w:val="zh-CN" w:eastAsia="zh-CN" w:bidi="zh-CN"/>
              </w:rPr>
            </w:pPr>
            <w:r>
              <w:rPr>
                <w:rFonts w:ascii="仿宋" w:hAnsi="仿宋" w:eastAsia="仿宋" w:cs="仿宋"/>
                <w:color w:val="auto"/>
                <w:spacing w:val="-1"/>
                <w:kern w:val="2"/>
                <w:sz w:val="21"/>
                <w:szCs w:val="22"/>
                <w:lang w:val="zh-CN" w:eastAsia="zh-CN" w:bidi="zh-CN"/>
              </w:rPr>
              <w:t>处广告费用 0.1 倍以上 1 倍以下罚款，广告费用无法计算或者明显偏低的，处 1 万元以上 10 万元以下罚款。</w:t>
            </w:r>
          </w:p>
        </w:tc>
        <w:tc>
          <w:tcPr>
            <w:tcW w:w="2715" w:type="dxa"/>
            <w:vAlign w:val="top"/>
          </w:tcPr>
          <w:p w14:paraId="7DC83CA4">
            <w:pPr>
              <w:jc w:val="both"/>
              <w:rPr>
                <w:rFonts w:ascii="仿宋" w:hAnsi="仿宋" w:eastAsia="仿宋" w:cs="仿宋"/>
                <w:color w:val="auto"/>
                <w:spacing w:val="-1"/>
                <w:kern w:val="2"/>
                <w:sz w:val="21"/>
                <w:szCs w:val="22"/>
                <w:lang w:val="zh-CN" w:eastAsia="zh-CN" w:bidi="zh-CN"/>
              </w:rPr>
            </w:pPr>
            <w:r>
              <w:rPr>
                <w:rFonts w:ascii="仿宋" w:hAnsi="仿宋" w:eastAsia="仿宋" w:cs="仿宋"/>
                <w:color w:val="auto"/>
                <w:spacing w:val="-1"/>
                <w:kern w:val="2"/>
                <w:sz w:val="21"/>
                <w:szCs w:val="22"/>
                <w:lang w:val="zh-CN" w:eastAsia="zh-CN" w:bidi="zh-CN"/>
              </w:rPr>
              <w:t>处广告费用 1 倍以上 1.6 倍以下罚款，广告费用无法计算或者明显偏低的，处10万元以上 13 万元以下罚款。</w:t>
            </w:r>
          </w:p>
        </w:tc>
        <w:tc>
          <w:tcPr>
            <w:tcW w:w="2718" w:type="dxa"/>
            <w:vAlign w:val="top"/>
          </w:tcPr>
          <w:p w14:paraId="0D045AF2">
            <w:pPr>
              <w:jc w:val="both"/>
              <w:rPr>
                <w:rFonts w:ascii="仿宋" w:hAnsi="仿宋" w:eastAsia="仿宋" w:cs="仿宋"/>
                <w:color w:val="auto"/>
                <w:spacing w:val="-1"/>
                <w:kern w:val="2"/>
                <w:sz w:val="21"/>
                <w:szCs w:val="22"/>
                <w:lang w:val="zh-CN" w:eastAsia="zh-CN" w:bidi="zh-CN"/>
              </w:rPr>
            </w:pPr>
            <w:r>
              <w:rPr>
                <w:rFonts w:ascii="仿宋" w:hAnsi="仿宋" w:eastAsia="仿宋" w:cs="仿宋"/>
                <w:color w:val="auto"/>
                <w:spacing w:val="-1"/>
                <w:kern w:val="2"/>
                <w:sz w:val="21"/>
                <w:szCs w:val="22"/>
                <w:lang w:val="zh-CN" w:eastAsia="zh-CN" w:bidi="zh-CN"/>
              </w:rPr>
              <w:t>处广告费用 1.6 倍以上 2.4 倍以下罚款，广告费用无法计算或者明显偏低的，处 13万元以上 17 万元以下罚款。</w:t>
            </w:r>
          </w:p>
        </w:tc>
        <w:tc>
          <w:tcPr>
            <w:tcW w:w="3901" w:type="dxa"/>
            <w:vAlign w:val="top"/>
          </w:tcPr>
          <w:p w14:paraId="0B14AF1A">
            <w:pPr>
              <w:jc w:val="both"/>
              <w:rPr>
                <w:rFonts w:ascii="仿宋" w:hAnsi="仿宋" w:eastAsia="仿宋" w:cs="仿宋"/>
                <w:color w:val="auto"/>
                <w:spacing w:val="-1"/>
                <w:kern w:val="2"/>
                <w:sz w:val="21"/>
                <w:szCs w:val="22"/>
                <w:lang w:val="zh-CN" w:eastAsia="zh-CN" w:bidi="zh-CN"/>
              </w:rPr>
            </w:pPr>
            <w:r>
              <w:rPr>
                <w:rFonts w:ascii="仿宋" w:hAnsi="仿宋" w:eastAsia="仿宋" w:cs="仿宋"/>
                <w:color w:val="auto"/>
                <w:spacing w:val="-1"/>
                <w:kern w:val="2"/>
                <w:sz w:val="21"/>
                <w:szCs w:val="22"/>
                <w:lang w:val="zh-CN" w:eastAsia="zh-CN" w:bidi="zh-CN"/>
              </w:rPr>
              <w:t>处广告费用 2.4 倍以上 3 倍以下罚款，广</w:t>
            </w:r>
          </w:p>
          <w:p w14:paraId="763D1E17">
            <w:pPr>
              <w:jc w:val="both"/>
              <w:rPr>
                <w:rFonts w:ascii="仿宋" w:hAnsi="仿宋" w:eastAsia="仿宋" w:cs="仿宋"/>
                <w:color w:val="auto"/>
                <w:spacing w:val="-1"/>
                <w:kern w:val="2"/>
                <w:sz w:val="21"/>
                <w:szCs w:val="22"/>
                <w:lang w:val="zh-CN" w:eastAsia="zh-CN" w:bidi="zh-CN"/>
              </w:rPr>
            </w:pPr>
            <w:r>
              <w:rPr>
                <w:rFonts w:ascii="仿宋" w:hAnsi="仿宋" w:eastAsia="仿宋" w:cs="仿宋"/>
                <w:color w:val="auto"/>
                <w:spacing w:val="-1"/>
                <w:kern w:val="2"/>
                <w:sz w:val="21"/>
                <w:szCs w:val="22"/>
                <w:lang w:val="zh-CN" w:eastAsia="zh-CN" w:bidi="zh-CN"/>
              </w:rPr>
              <w:t>告费用无法计算或者明显偏低的，处 17万元以上 20 万元以下罚款。</w:t>
            </w:r>
          </w:p>
        </w:tc>
      </w:tr>
      <w:tr w14:paraId="1CE24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3" w:hRule="atLeast"/>
        </w:trPr>
        <w:tc>
          <w:tcPr>
            <w:tcW w:w="562" w:type="dxa"/>
            <w:vMerge w:val="continue"/>
            <w:tcBorders>
              <w:top w:val="nil"/>
            </w:tcBorders>
            <w:vAlign w:val="top"/>
          </w:tcPr>
          <w:p w14:paraId="04F66C99">
            <w:pPr>
              <w:jc w:val="both"/>
              <w:rPr>
                <w:color w:val="auto"/>
                <w:sz w:val="2"/>
                <w:szCs w:val="2"/>
              </w:rPr>
            </w:pPr>
          </w:p>
        </w:tc>
        <w:tc>
          <w:tcPr>
            <w:tcW w:w="593" w:type="dxa"/>
            <w:vMerge w:val="continue"/>
            <w:tcBorders>
              <w:top w:val="nil"/>
            </w:tcBorders>
            <w:vAlign w:val="top"/>
          </w:tcPr>
          <w:p w14:paraId="2C8BE48E">
            <w:pPr>
              <w:jc w:val="both"/>
              <w:rPr>
                <w:color w:val="auto"/>
                <w:sz w:val="2"/>
                <w:szCs w:val="2"/>
              </w:rPr>
            </w:pPr>
          </w:p>
        </w:tc>
        <w:tc>
          <w:tcPr>
            <w:tcW w:w="591" w:type="dxa"/>
            <w:vAlign w:val="top"/>
          </w:tcPr>
          <w:p w14:paraId="71FCBFF2">
            <w:pPr>
              <w:pStyle w:val="8"/>
              <w:spacing w:before="1" w:line="242" w:lineRule="auto"/>
              <w:ind w:left="186" w:right="182"/>
              <w:jc w:val="both"/>
              <w:rPr>
                <w:b/>
                <w:color w:val="auto"/>
                <w:sz w:val="21"/>
              </w:rPr>
            </w:pPr>
            <w:r>
              <w:rPr>
                <w:b/>
                <w:color w:val="auto"/>
                <w:sz w:val="21"/>
              </w:rPr>
              <w:t>情节严</w:t>
            </w:r>
          </w:p>
          <w:p w14:paraId="7F95588F">
            <w:pPr>
              <w:pStyle w:val="8"/>
              <w:spacing w:before="3" w:line="270" w:lineRule="atLeast"/>
              <w:ind w:left="186" w:right="182"/>
              <w:jc w:val="both"/>
              <w:rPr>
                <w:b/>
                <w:color w:val="auto"/>
                <w:sz w:val="21"/>
              </w:rPr>
            </w:pPr>
            <w:r>
              <w:rPr>
                <w:b/>
                <w:color w:val="auto"/>
                <w:sz w:val="21"/>
              </w:rPr>
              <w:t>重的</w:t>
            </w:r>
          </w:p>
        </w:tc>
        <w:tc>
          <w:tcPr>
            <w:tcW w:w="2716" w:type="dxa"/>
            <w:vAlign w:val="top"/>
          </w:tcPr>
          <w:p w14:paraId="73D9A692">
            <w:pPr>
              <w:pStyle w:val="8"/>
              <w:spacing w:before="2" w:line="242" w:lineRule="auto"/>
              <w:ind w:left="107" w:right="103" w:firstLine="420"/>
              <w:jc w:val="both"/>
              <w:rPr>
                <w:rFonts w:ascii="仿宋" w:hAnsi="仿宋" w:eastAsia="仿宋" w:cs="仿宋"/>
                <w:color w:val="auto"/>
                <w:spacing w:val="-1"/>
                <w:kern w:val="2"/>
                <w:sz w:val="21"/>
                <w:szCs w:val="22"/>
                <w:lang w:val="zh-CN" w:eastAsia="zh-CN" w:bidi="zh-CN"/>
              </w:rPr>
            </w:pPr>
          </w:p>
        </w:tc>
        <w:tc>
          <w:tcPr>
            <w:tcW w:w="2715" w:type="dxa"/>
            <w:vAlign w:val="top"/>
          </w:tcPr>
          <w:p w14:paraId="420D8DBF">
            <w:pPr>
              <w:pStyle w:val="8"/>
              <w:spacing w:before="2" w:line="242" w:lineRule="auto"/>
              <w:ind w:right="103"/>
              <w:jc w:val="both"/>
              <w:rPr>
                <w:rFonts w:ascii="仿宋" w:hAnsi="仿宋" w:eastAsia="仿宋" w:cs="仿宋"/>
                <w:color w:val="auto"/>
                <w:spacing w:val="-1"/>
                <w:kern w:val="2"/>
                <w:sz w:val="21"/>
                <w:szCs w:val="22"/>
                <w:lang w:val="zh-CN" w:eastAsia="zh-CN" w:bidi="zh-CN"/>
              </w:rPr>
            </w:pPr>
            <w:r>
              <w:rPr>
                <w:rFonts w:ascii="仿宋" w:hAnsi="仿宋" w:eastAsia="仿宋" w:cs="仿宋"/>
                <w:color w:val="auto"/>
                <w:spacing w:val="-1"/>
                <w:kern w:val="2"/>
                <w:sz w:val="21"/>
                <w:szCs w:val="22"/>
                <w:lang w:val="zh-CN" w:eastAsia="zh-CN" w:bidi="zh-CN"/>
              </w:rPr>
              <w:t>处广告费用 3 倍以上 3.6 倍以下罚款，广告费用无法计算或者明显偏低的，处20万元以上 44 万元以下罚款。</w:t>
            </w:r>
          </w:p>
        </w:tc>
        <w:tc>
          <w:tcPr>
            <w:tcW w:w="2718" w:type="dxa"/>
            <w:vAlign w:val="top"/>
          </w:tcPr>
          <w:p w14:paraId="5FCC502C">
            <w:pPr>
              <w:pStyle w:val="8"/>
              <w:spacing w:before="2" w:line="242" w:lineRule="auto"/>
              <w:ind w:right="103"/>
              <w:jc w:val="both"/>
              <w:rPr>
                <w:rFonts w:ascii="仿宋" w:hAnsi="仿宋" w:eastAsia="仿宋" w:cs="仿宋"/>
                <w:color w:val="auto"/>
                <w:spacing w:val="-1"/>
                <w:kern w:val="2"/>
                <w:sz w:val="21"/>
                <w:szCs w:val="22"/>
                <w:lang w:val="zh-CN" w:eastAsia="zh-CN" w:bidi="zh-CN"/>
              </w:rPr>
            </w:pPr>
            <w:r>
              <w:rPr>
                <w:rFonts w:ascii="仿宋" w:hAnsi="仿宋" w:eastAsia="仿宋" w:cs="仿宋"/>
                <w:color w:val="auto"/>
                <w:spacing w:val="-1"/>
                <w:kern w:val="2"/>
                <w:sz w:val="21"/>
                <w:szCs w:val="22"/>
                <w:lang w:val="zh-CN" w:eastAsia="zh-CN" w:bidi="zh-CN"/>
              </w:rPr>
              <w:t>处广告费用 3.6 倍以上 4.4 倍以下罚款，广告费用无法计算或者明显偏低的，处 44万元以上 76 万元以下罚款。</w:t>
            </w:r>
          </w:p>
        </w:tc>
        <w:tc>
          <w:tcPr>
            <w:tcW w:w="3901" w:type="dxa"/>
            <w:vAlign w:val="top"/>
          </w:tcPr>
          <w:p w14:paraId="7FB717F5">
            <w:pPr>
              <w:pStyle w:val="8"/>
              <w:spacing w:before="2" w:line="242" w:lineRule="auto"/>
              <w:ind w:right="103"/>
              <w:jc w:val="both"/>
              <w:rPr>
                <w:rFonts w:ascii="仿宋" w:hAnsi="仿宋" w:eastAsia="仿宋" w:cs="仿宋"/>
                <w:color w:val="auto"/>
                <w:spacing w:val="-1"/>
                <w:kern w:val="2"/>
                <w:sz w:val="21"/>
                <w:szCs w:val="22"/>
                <w:lang w:val="zh-CN" w:eastAsia="zh-CN" w:bidi="zh-CN"/>
              </w:rPr>
            </w:pPr>
            <w:r>
              <w:rPr>
                <w:rFonts w:ascii="仿宋" w:hAnsi="仿宋" w:eastAsia="仿宋" w:cs="仿宋"/>
                <w:color w:val="auto"/>
                <w:spacing w:val="-1"/>
                <w:kern w:val="2"/>
                <w:sz w:val="21"/>
                <w:szCs w:val="22"/>
                <w:lang w:val="zh-CN" w:eastAsia="zh-CN" w:bidi="zh-CN"/>
              </w:rPr>
              <w:t>处广告费用 4.4 倍以上 5 倍以下罚款，广告费用无法计算或者明显偏低的，处 76</w:t>
            </w:r>
          </w:p>
          <w:p w14:paraId="5B2C078F">
            <w:pPr>
              <w:pStyle w:val="8"/>
              <w:spacing w:before="2" w:line="242" w:lineRule="auto"/>
              <w:ind w:right="103"/>
              <w:jc w:val="both"/>
              <w:rPr>
                <w:rFonts w:ascii="仿宋" w:hAnsi="仿宋" w:eastAsia="仿宋" w:cs="仿宋"/>
                <w:color w:val="auto"/>
                <w:spacing w:val="-1"/>
                <w:kern w:val="2"/>
                <w:sz w:val="21"/>
                <w:szCs w:val="22"/>
                <w:lang w:val="zh-CN" w:eastAsia="zh-CN" w:bidi="zh-CN"/>
              </w:rPr>
            </w:pPr>
            <w:r>
              <w:rPr>
                <w:rFonts w:ascii="仿宋" w:hAnsi="仿宋" w:eastAsia="仿宋" w:cs="仿宋"/>
                <w:color w:val="auto"/>
                <w:spacing w:val="-1"/>
                <w:kern w:val="2"/>
                <w:sz w:val="21"/>
                <w:szCs w:val="22"/>
                <w:lang w:val="zh-CN" w:eastAsia="zh-CN" w:bidi="zh-CN"/>
              </w:rPr>
              <w:t>万元以上 100 万元以下罚款。</w:t>
            </w:r>
          </w:p>
        </w:tc>
      </w:tr>
    </w:tbl>
    <w:p w14:paraId="50CD5421">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6"/>
        <w:tblW w:w="13796"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593"/>
        <w:gridCol w:w="591"/>
        <w:gridCol w:w="2716"/>
        <w:gridCol w:w="2715"/>
        <w:gridCol w:w="2718"/>
        <w:gridCol w:w="3901"/>
      </w:tblGrid>
      <w:tr w14:paraId="56543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562" w:type="dxa"/>
            <w:vMerge w:val="restart"/>
            <w:vAlign w:val="top"/>
          </w:tcPr>
          <w:p w14:paraId="48D64C88">
            <w:pPr>
              <w:pStyle w:val="8"/>
              <w:jc w:val="both"/>
              <w:rPr>
                <w:rFonts w:ascii="Times New Roman"/>
                <w:color w:val="auto"/>
                <w:sz w:val="20"/>
              </w:rPr>
            </w:pPr>
          </w:p>
          <w:p w14:paraId="59CC8541">
            <w:pPr>
              <w:pStyle w:val="8"/>
              <w:jc w:val="both"/>
              <w:rPr>
                <w:rFonts w:ascii="Times New Roman"/>
                <w:color w:val="auto"/>
                <w:sz w:val="20"/>
              </w:rPr>
            </w:pPr>
          </w:p>
          <w:p w14:paraId="0FBC9051">
            <w:pPr>
              <w:pStyle w:val="8"/>
              <w:jc w:val="both"/>
              <w:rPr>
                <w:rFonts w:ascii="Times New Roman"/>
                <w:color w:val="auto"/>
                <w:sz w:val="20"/>
              </w:rPr>
            </w:pPr>
          </w:p>
          <w:p w14:paraId="4F02CCE4">
            <w:pPr>
              <w:pStyle w:val="8"/>
              <w:jc w:val="both"/>
              <w:rPr>
                <w:rFonts w:ascii="Times New Roman"/>
                <w:color w:val="auto"/>
                <w:sz w:val="20"/>
              </w:rPr>
            </w:pPr>
          </w:p>
          <w:p w14:paraId="2372B469">
            <w:pPr>
              <w:pStyle w:val="8"/>
              <w:jc w:val="both"/>
              <w:rPr>
                <w:rFonts w:ascii="Times New Roman"/>
                <w:color w:val="auto"/>
                <w:sz w:val="20"/>
              </w:rPr>
            </w:pPr>
          </w:p>
          <w:p w14:paraId="56B21AB3">
            <w:pPr>
              <w:pStyle w:val="8"/>
              <w:jc w:val="both"/>
              <w:rPr>
                <w:rFonts w:ascii="Times New Roman"/>
                <w:color w:val="auto"/>
                <w:sz w:val="20"/>
              </w:rPr>
            </w:pPr>
          </w:p>
          <w:p w14:paraId="5AE6117C">
            <w:pPr>
              <w:pStyle w:val="8"/>
              <w:jc w:val="both"/>
              <w:rPr>
                <w:rFonts w:ascii="Times New Roman"/>
                <w:color w:val="auto"/>
                <w:sz w:val="20"/>
              </w:rPr>
            </w:pPr>
          </w:p>
          <w:p w14:paraId="4FDF1A47">
            <w:pPr>
              <w:pStyle w:val="8"/>
              <w:jc w:val="both"/>
              <w:rPr>
                <w:rFonts w:ascii="Times New Roman"/>
                <w:color w:val="auto"/>
                <w:sz w:val="20"/>
              </w:rPr>
            </w:pPr>
          </w:p>
          <w:p w14:paraId="5B68E876">
            <w:pPr>
              <w:pStyle w:val="8"/>
              <w:jc w:val="both"/>
              <w:rPr>
                <w:rFonts w:ascii="Times New Roman"/>
                <w:color w:val="auto"/>
                <w:sz w:val="20"/>
              </w:rPr>
            </w:pPr>
          </w:p>
          <w:p w14:paraId="1D07BA98">
            <w:pPr>
              <w:pStyle w:val="8"/>
              <w:jc w:val="both"/>
              <w:rPr>
                <w:rFonts w:ascii="Times New Roman"/>
                <w:color w:val="auto"/>
                <w:sz w:val="20"/>
              </w:rPr>
            </w:pPr>
          </w:p>
          <w:p w14:paraId="500AAC26">
            <w:pPr>
              <w:pStyle w:val="8"/>
              <w:jc w:val="both"/>
              <w:rPr>
                <w:rFonts w:ascii="Times New Roman"/>
                <w:color w:val="auto"/>
                <w:sz w:val="20"/>
              </w:rPr>
            </w:pPr>
          </w:p>
          <w:p w14:paraId="51B7150E">
            <w:pPr>
              <w:pStyle w:val="8"/>
              <w:jc w:val="both"/>
              <w:rPr>
                <w:rFonts w:ascii="Times New Roman"/>
                <w:color w:val="auto"/>
                <w:sz w:val="20"/>
              </w:rPr>
            </w:pPr>
          </w:p>
          <w:p w14:paraId="743A9049">
            <w:pPr>
              <w:pStyle w:val="8"/>
              <w:jc w:val="both"/>
              <w:rPr>
                <w:rFonts w:ascii="Times New Roman"/>
                <w:color w:val="auto"/>
                <w:sz w:val="20"/>
              </w:rPr>
            </w:pPr>
          </w:p>
          <w:p w14:paraId="30F00553">
            <w:pPr>
              <w:pStyle w:val="8"/>
              <w:jc w:val="both"/>
              <w:rPr>
                <w:rFonts w:ascii="Times New Roman"/>
                <w:color w:val="auto"/>
                <w:sz w:val="20"/>
              </w:rPr>
            </w:pPr>
          </w:p>
          <w:p w14:paraId="4B5AE39E">
            <w:pPr>
              <w:pStyle w:val="8"/>
              <w:jc w:val="both"/>
              <w:rPr>
                <w:rFonts w:ascii="Times New Roman"/>
                <w:color w:val="auto"/>
                <w:sz w:val="20"/>
              </w:rPr>
            </w:pPr>
          </w:p>
          <w:p w14:paraId="4600A4D4">
            <w:pPr>
              <w:pStyle w:val="8"/>
              <w:spacing w:before="10"/>
              <w:jc w:val="both"/>
              <w:rPr>
                <w:rFonts w:ascii="Times New Roman"/>
                <w:color w:val="auto"/>
                <w:sz w:val="15"/>
              </w:rPr>
            </w:pPr>
          </w:p>
          <w:p w14:paraId="19EBE75D">
            <w:pPr>
              <w:pStyle w:val="8"/>
              <w:ind w:left="175"/>
              <w:jc w:val="both"/>
              <w:rPr>
                <w:b/>
                <w:color w:val="auto"/>
                <w:sz w:val="21"/>
              </w:rPr>
            </w:pPr>
            <w:r>
              <w:rPr>
                <w:b/>
                <w:color w:val="auto"/>
                <w:sz w:val="21"/>
              </w:rPr>
              <w:t>12</w:t>
            </w:r>
          </w:p>
        </w:tc>
        <w:tc>
          <w:tcPr>
            <w:tcW w:w="1184" w:type="dxa"/>
            <w:gridSpan w:val="2"/>
            <w:vAlign w:val="top"/>
          </w:tcPr>
          <w:p w14:paraId="741BC0ED">
            <w:pPr>
              <w:pStyle w:val="8"/>
              <w:spacing w:before="9"/>
              <w:jc w:val="both"/>
              <w:rPr>
                <w:rFonts w:ascii="Times New Roman"/>
                <w:color w:val="auto"/>
                <w:sz w:val="17"/>
              </w:rPr>
            </w:pPr>
          </w:p>
          <w:p w14:paraId="0581293A">
            <w:pPr>
              <w:pStyle w:val="8"/>
              <w:ind w:left="170"/>
              <w:jc w:val="both"/>
              <w:rPr>
                <w:b/>
                <w:color w:val="auto"/>
                <w:sz w:val="21"/>
              </w:rPr>
            </w:pPr>
            <w:r>
              <w:rPr>
                <w:b/>
                <w:color w:val="auto"/>
                <w:sz w:val="21"/>
              </w:rPr>
              <w:t>违法行为</w:t>
            </w:r>
          </w:p>
        </w:tc>
        <w:tc>
          <w:tcPr>
            <w:tcW w:w="12050" w:type="dxa"/>
            <w:gridSpan w:val="4"/>
            <w:vAlign w:val="top"/>
          </w:tcPr>
          <w:p w14:paraId="41ABDE6D">
            <w:pPr>
              <w:pStyle w:val="8"/>
              <w:spacing w:before="9"/>
              <w:jc w:val="both"/>
              <w:rPr>
                <w:rFonts w:ascii="Times New Roman"/>
                <w:color w:val="auto"/>
                <w:sz w:val="17"/>
              </w:rPr>
            </w:pPr>
          </w:p>
          <w:p w14:paraId="5D73FE54">
            <w:pPr>
              <w:pStyle w:val="8"/>
              <w:ind w:left="527"/>
              <w:jc w:val="both"/>
              <w:rPr>
                <w:color w:val="auto"/>
                <w:sz w:val="21"/>
              </w:rPr>
            </w:pPr>
            <w:r>
              <w:rPr>
                <w:color w:val="auto"/>
                <w:sz w:val="21"/>
              </w:rPr>
              <w:t>境外化妆品注册人、备案人指定的在我国境内的企业法人未协助开展化妆品不良反应监测、实施产品召回的</w:t>
            </w:r>
          </w:p>
        </w:tc>
      </w:tr>
      <w:tr w14:paraId="583AB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562" w:type="dxa"/>
            <w:vMerge w:val="continue"/>
            <w:tcBorders>
              <w:top w:val="nil"/>
            </w:tcBorders>
            <w:vAlign w:val="top"/>
          </w:tcPr>
          <w:p w14:paraId="3EB09D68">
            <w:pPr>
              <w:jc w:val="both"/>
              <w:rPr>
                <w:color w:val="auto"/>
                <w:sz w:val="2"/>
                <w:szCs w:val="2"/>
              </w:rPr>
            </w:pPr>
          </w:p>
        </w:tc>
        <w:tc>
          <w:tcPr>
            <w:tcW w:w="1184" w:type="dxa"/>
            <w:gridSpan w:val="2"/>
            <w:vAlign w:val="top"/>
          </w:tcPr>
          <w:p w14:paraId="37728516">
            <w:pPr>
              <w:pStyle w:val="8"/>
              <w:jc w:val="both"/>
              <w:rPr>
                <w:rFonts w:ascii="Times New Roman"/>
                <w:color w:val="auto"/>
                <w:sz w:val="20"/>
              </w:rPr>
            </w:pPr>
          </w:p>
          <w:p w14:paraId="14083AA7">
            <w:pPr>
              <w:pStyle w:val="8"/>
              <w:jc w:val="both"/>
              <w:rPr>
                <w:rFonts w:ascii="Times New Roman"/>
                <w:color w:val="auto"/>
                <w:sz w:val="20"/>
              </w:rPr>
            </w:pPr>
          </w:p>
          <w:p w14:paraId="1C57E543">
            <w:pPr>
              <w:pStyle w:val="8"/>
              <w:jc w:val="both"/>
              <w:rPr>
                <w:rFonts w:ascii="Times New Roman"/>
                <w:color w:val="auto"/>
                <w:sz w:val="22"/>
              </w:rPr>
            </w:pPr>
          </w:p>
          <w:p w14:paraId="43E67C36">
            <w:pPr>
              <w:pStyle w:val="8"/>
              <w:spacing w:before="1"/>
              <w:ind w:left="170"/>
              <w:jc w:val="both"/>
              <w:rPr>
                <w:b/>
                <w:color w:val="auto"/>
                <w:sz w:val="21"/>
              </w:rPr>
            </w:pPr>
            <w:r>
              <w:rPr>
                <w:b/>
                <w:color w:val="auto"/>
                <w:sz w:val="21"/>
              </w:rPr>
              <w:t>处罚依据</w:t>
            </w:r>
          </w:p>
        </w:tc>
        <w:tc>
          <w:tcPr>
            <w:tcW w:w="12050" w:type="dxa"/>
            <w:gridSpan w:val="4"/>
            <w:vAlign w:val="top"/>
          </w:tcPr>
          <w:p w14:paraId="6231295E">
            <w:pPr>
              <w:pStyle w:val="8"/>
              <w:ind w:left="527"/>
              <w:jc w:val="both"/>
              <w:rPr>
                <w:rFonts w:ascii="Times New Roman"/>
                <w:color w:val="auto"/>
                <w:sz w:val="20"/>
              </w:rPr>
            </w:pPr>
          </w:p>
          <w:p w14:paraId="60A3B4C0">
            <w:pPr>
              <w:pStyle w:val="8"/>
              <w:spacing w:before="0"/>
              <w:ind w:left="527"/>
              <w:jc w:val="both"/>
              <w:rPr>
                <w:rFonts w:ascii="Times New Roman"/>
                <w:color w:val="auto"/>
                <w:sz w:val="18"/>
              </w:rPr>
            </w:pPr>
          </w:p>
          <w:p w14:paraId="481B7ADF">
            <w:pPr>
              <w:jc w:val="both"/>
              <w:rPr>
                <w:color w:val="auto"/>
                <w:sz w:val="21"/>
              </w:rPr>
            </w:pPr>
            <w:r>
              <w:rPr>
                <w:rFonts w:ascii="仿宋" w:hAnsi="仿宋" w:eastAsia="仿宋" w:cs="仿宋"/>
                <w:color w:val="auto"/>
                <w:spacing w:val="-5"/>
                <w:kern w:val="2"/>
                <w:sz w:val="21"/>
                <w:szCs w:val="22"/>
                <w:lang w:val="zh-CN" w:eastAsia="zh-CN" w:bidi="zh-CN"/>
              </w:rPr>
              <w:t>根据《化妆品监督管理条例》第七十条规定，由省、自治区、直辖市人民政府药品监督管理部门责令改正，给予警告，并处 2万元以上 10 万元以下罚款。情节严重的，处 10 万元以上 50 万元以下罚款，5 年内禁止其法定代表人或者主要负责人、直接负责的主管人员和其他直接责任人员从事化妆品生产经营活动。</w:t>
            </w:r>
          </w:p>
        </w:tc>
      </w:tr>
      <w:tr w14:paraId="5DF28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562" w:type="dxa"/>
            <w:vMerge w:val="continue"/>
            <w:tcBorders>
              <w:top w:val="nil"/>
            </w:tcBorders>
            <w:vAlign w:val="top"/>
          </w:tcPr>
          <w:p w14:paraId="56033133">
            <w:pPr>
              <w:jc w:val="both"/>
              <w:rPr>
                <w:color w:val="auto"/>
                <w:sz w:val="2"/>
                <w:szCs w:val="2"/>
              </w:rPr>
            </w:pPr>
          </w:p>
        </w:tc>
        <w:tc>
          <w:tcPr>
            <w:tcW w:w="1184" w:type="dxa"/>
            <w:gridSpan w:val="2"/>
            <w:vAlign w:val="top"/>
          </w:tcPr>
          <w:p w14:paraId="5FB7F1B5">
            <w:pPr>
              <w:pStyle w:val="8"/>
              <w:spacing w:before="147"/>
              <w:ind w:left="170"/>
              <w:jc w:val="both"/>
              <w:rPr>
                <w:b/>
                <w:color w:val="auto"/>
                <w:sz w:val="21"/>
              </w:rPr>
            </w:pPr>
            <w:r>
              <w:rPr>
                <w:b/>
                <w:color w:val="auto"/>
                <w:sz w:val="21"/>
              </w:rPr>
              <w:t>裁量等级</w:t>
            </w:r>
          </w:p>
        </w:tc>
        <w:tc>
          <w:tcPr>
            <w:tcW w:w="2716" w:type="dxa"/>
            <w:vAlign w:val="top"/>
          </w:tcPr>
          <w:p w14:paraId="77151EC9">
            <w:pPr>
              <w:pStyle w:val="8"/>
              <w:spacing w:before="147"/>
              <w:ind w:left="107"/>
              <w:jc w:val="both"/>
              <w:rPr>
                <w:b/>
                <w:color w:val="auto"/>
                <w:sz w:val="21"/>
              </w:rPr>
            </w:pPr>
            <w:r>
              <w:rPr>
                <w:b/>
                <w:color w:val="auto"/>
                <w:sz w:val="21"/>
              </w:rPr>
              <w:t>减轻</w:t>
            </w:r>
          </w:p>
        </w:tc>
        <w:tc>
          <w:tcPr>
            <w:tcW w:w="2715" w:type="dxa"/>
            <w:vAlign w:val="top"/>
          </w:tcPr>
          <w:p w14:paraId="06CDE099">
            <w:pPr>
              <w:pStyle w:val="8"/>
              <w:spacing w:before="147"/>
              <w:ind w:left="106"/>
              <w:jc w:val="both"/>
              <w:rPr>
                <w:b/>
                <w:color w:val="auto"/>
                <w:sz w:val="21"/>
              </w:rPr>
            </w:pPr>
            <w:r>
              <w:rPr>
                <w:b/>
                <w:color w:val="auto"/>
                <w:sz w:val="21"/>
              </w:rPr>
              <w:t>从轻</w:t>
            </w:r>
          </w:p>
        </w:tc>
        <w:tc>
          <w:tcPr>
            <w:tcW w:w="2718" w:type="dxa"/>
            <w:vAlign w:val="top"/>
          </w:tcPr>
          <w:p w14:paraId="74E0CD54">
            <w:pPr>
              <w:pStyle w:val="8"/>
              <w:spacing w:before="147"/>
              <w:ind w:left="105"/>
              <w:jc w:val="both"/>
              <w:rPr>
                <w:b/>
                <w:color w:val="auto"/>
                <w:sz w:val="21"/>
              </w:rPr>
            </w:pPr>
            <w:r>
              <w:rPr>
                <w:b/>
                <w:color w:val="auto"/>
                <w:sz w:val="21"/>
              </w:rPr>
              <w:t>一般</w:t>
            </w:r>
          </w:p>
        </w:tc>
        <w:tc>
          <w:tcPr>
            <w:tcW w:w="3901" w:type="dxa"/>
            <w:vAlign w:val="top"/>
          </w:tcPr>
          <w:p w14:paraId="51DC3178">
            <w:pPr>
              <w:pStyle w:val="8"/>
              <w:spacing w:before="147"/>
              <w:ind w:left="102"/>
              <w:jc w:val="both"/>
              <w:rPr>
                <w:b/>
                <w:color w:val="auto"/>
                <w:sz w:val="21"/>
              </w:rPr>
            </w:pPr>
            <w:r>
              <w:rPr>
                <w:b/>
                <w:color w:val="auto"/>
                <w:sz w:val="21"/>
              </w:rPr>
              <w:t>从重</w:t>
            </w:r>
          </w:p>
        </w:tc>
      </w:tr>
      <w:tr w14:paraId="31E02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562" w:type="dxa"/>
            <w:vMerge w:val="continue"/>
            <w:tcBorders>
              <w:top w:val="nil"/>
            </w:tcBorders>
            <w:vAlign w:val="top"/>
          </w:tcPr>
          <w:p w14:paraId="576EFC47">
            <w:pPr>
              <w:jc w:val="both"/>
              <w:rPr>
                <w:color w:val="auto"/>
                <w:sz w:val="2"/>
                <w:szCs w:val="2"/>
              </w:rPr>
            </w:pPr>
          </w:p>
        </w:tc>
        <w:tc>
          <w:tcPr>
            <w:tcW w:w="1184" w:type="dxa"/>
            <w:gridSpan w:val="2"/>
            <w:vAlign w:val="top"/>
          </w:tcPr>
          <w:p w14:paraId="448DFB2C">
            <w:pPr>
              <w:pStyle w:val="8"/>
              <w:jc w:val="both"/>
              <w:rPr>
                <w:rFonts w:ascii="Times New Roman"/>
                <w:color w:val="auto"/>
                <w:sz w:val="20"/>
              </w:rPr>
            </w:pPr>
          </w:p>
          <w:p w14:paraId="6FDAB9B5">
            <w:pPr>
              <w:pStyle w:val="8"/>
              <w:spacing w:before="7"/>
              <w:jc w:val="both"/>
              <w:rPr>
                <w:rFonts w:ascii="Times New Roman"/>
                <w:color w:val="auto"/>
                <w:sz w:val="17"/>
              </w:rPr>
            </w:pPr>
          </w:p>
          <w:p w14:paraId="750B543C">
            <w:pPr>
              <w:pStyle w:val="8"/>
              <w:ind w:left="170"/>
              <w:jc w:val="both"/>
              <w:rPr>
                <w:b/>
                <w:color w:val="auto"/>
                <w:sz w:val="21"/>
              </w:rPr>
            </w:pPr>
            <w:r>
              <w:rPr>
                <w:b/>
                <w:color w:val="auto"/>
                <w:sz w:val="21"/>
              </w:rPr>
              <w:t>裁量情节</w:t>
            </w:r>
          </w:p>
        </w:tc>
        <w:tc>
          <w:tcPr>
            <w:tcW w:w="2716" w:type="dxa"/>
            <w:vAlign w:val="top"/>
          </w:tcPr>
          <w:p w14:paraId="09D442B7">
            <w:pPr>
              <w:pStyle w:val="8"/>
              <w:spacing w:before="8"/>
              <w:jc w:val="both"/>
              <w:rPr>
                <w:rFonts w:ascii="Times New Roman"/>
                <w:color w:val="auto"/>
                <w:sz w:val="25"/>
              </w:rPr>
            </w:pPr>
          </w:p>
          <w:p w14:paraId="356433BE">
            <w:pPr>
              <w:pStyle w:val="8"/>
              <w:spacing w:line="242" w:lineRule="auto"/>
              <w:ind w:left="107" w:right="99"/>
              <w:jc w:val="both"/>
              <w:rPr>
                <w:color w:val="auto"/>
                <w:sz w:val="21"/>
              </w:rPr>
            </w:pPr>
            <w:r>
              <w:rPr>
                <w:color w:val="auto"/>
                <w:sz w:val="21"/>
              </w:rPr>
              <w:t>符合裁量规定减轻行政处罚情形的。</w:t>
            </w:r>
          </w:p>
        </w:tc>
        <w:tc>
          <w:tcPr>
            <w:tcW w:w="2715" w:type="dxa"/>
            <w:vAlign w:val="top"/>
          </w:tcPr>
          <w:p w14:paraId="4B8808D2">
            <w:pPr>
              <w:pStyle w:val="8"/>
              <w:spacing w:before="8"/>
              <w:jc w:val="both"/>
              <w:rPr>
                <w:rFonts w:ascii="Times New Roman"/>
                <w:color w:val="auto"/>
                <w:sz w:val="25"/>
              </w:rPr>
            </w:pPr>
          </w:p>
          <w:p w14:paraId="50E9A761">
            <w:pPr>
              <w:pStyle w:val="8"/>
              <w:spacing w:line="242" w:lineRule="auto"/>
              <w:ind w:left="106" w:right="97"/>
              <w:jc w:val="both"/>
              <w:rPr>
                <w:color w:val="auto"/>
                <w:sz w:val="21"/>
              </w:rPr>
            </w:pPr>
            <w:r>
              <w:rPr>
                <w:color w:val="auto"/>
                <w:sz w:val="21"/>
              </w:rPr>
              <w:t>符合裁量规定从轻行政处罚情形的。</w:t>
            </w:r>
          </w:p>
        </w:tc>
        <w:tc>
          <w:tcPr>
            <w:tcW w:w="2718" w:type="dxa"/>
            <w:vAlign w:val="top"/>
          </w:tcPr>
          <w:p w14:paraId="0E5BC90E">
            <w:pPr>
              <w:pStyle w:val="8"/>
              <w:spacing w:before="8"/>
              <w:jc w:val="both"/>
              <w:rPr>
                <w:rFonts w:ascii="Times New Roman"/>
                <w:color w:val="auto"/>
                <w:sz w:val="25"/>
              </w:rPr>
            </w:pPr>
          </w:p>
          <w:p w14:paraId="2D524FE1">
            <w:pPr>
              <w:pStyle w:val="8"/>
              <w:spacing w:line="242" w:lineRule="auto"/>
              <w:ind w:left="105" w:right="101"/>
              <w:jc w:val="both"/>
              <w:rPr>
                <w:color w:val="auto"/>
                <w:sz w:val="21"/>
              </w:rPr>
            </w:pPr>
            <w:r>
              <w:rPr>
                <w:color w:val="auto"/>
                <w:sz w:val="21"/>
              </w:rPr>
              <w:t>符合裁量规定一般行政处罚情形的。</w:t>
            </w:r>
          </w:p>
        </w:tc>
        <w:tc>
          <w:tcPr>
            <w:tcW w:w="3901" w:type="dxa"/>
            <w:vAlign w:val="top"/>
          </w:tcPr>
          <w:p w14:paraId="635B8682">
            <w:pPr>
              <w:pStyle w:val="8"/>
              <w:jc w:val="both"/>
              <w:rPr>
                <w:rFonts w:ascii="Times New Roman"/>
                <w:color w:val="auto"/>
                <w:sz w:val="20"/>
              </w:rPr>
            </w:pPr>
          </w:p>
          <w:p w14:paraId="354A0F27">
            <w:pPr>
              <w:pStyle w:val="8"/>
              <w:spacing w:before="7"/>
              <w:jc w:val="both"/>
              <w:rPr>
                <w:rFonts w:ascii="Times New Roman"/>
                <w:color w:val="auto"/>
                <w:sz w:val="17"/>
              </w:rPr>
            </w:pPr>
          </w:p>
          <w:p w14:paraId="078875FE">
            <w:pPr>
              <w:pStyle w:val="8"/>
              <w:ind w:left="102"/>
              <w:jc w:val="both"/>
              <w:rPr>
                <w:color w:val="auto"/>
                <w:sz w:val="21"/>
              </w:rPr>
            </w:pPr>
            <w:r>
              <w:rPr>
                <w:color w:val="auto"/>
                <w:sz w:val="21"/>
              </w:rPr>
              <w:t>符合裁量规定从重行政处罚情形的。</w:t>
            </w:r>
          </w:p>
        </w:tc>
      </w:tr>
      <w:tr w14:paraId="4DB9F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562" w:type="dxa"/>
            <w:vMerge w:val="continue"/>
            <w:tcBorders>
              <w:top w:val="nil"/>
            </w:tcBorders>
            <w:vAlign w:val="top"/>
          </w:tcPr>
          <w:p w14:paraId="3C3F5F71">
            <w:pPr>
              <w:jc w:val="both"/>
              <w:rPr>
                <w:color w:val="auto"/>
                <w:sz w:val="2"/>
                <w:szCs w:val="2"/>
              </w:rPr>
            </w:pPr>
          </w:p>
        </w:tc>
        <w:tc>
          <w:tcPr>
            <w:tcW w:w="593" w:type="dxa"/>
            <w:vMerge w:val="restart"/>
            <w:vAlign w:val="top"/>
          </w:tcPr>
          <w:p w14:paraId="1F62E567">
            <w:pPr>
              <w:pStyle w:val="8"/>
              <w:jc w:val="both"/>
              <w:rPr>
                <w:rFonts w:ascii="Times New Roman"/>
                <w:color w:val="auto"/>
                <w:sz w:val="20"/>
              </w:rPr>
            </w:pPr>
          </w:p>
          <w:p w14:paraId="30473291">
            <w:pPr>
              <w:pStyle w:val="8"/>
              <w:jc w:val="both"/>
              <w:rPr>
                <w:rFonts w:ascii="Times New Roman"/>
                <w:color w:val="auto"/>
                <w:sz w:val="20"/>
              </w:rPr>
            </w:pPr>
          </w:p>
          <w:p w14:paraId="721F52DA">
            <w:pPr>
              <w:pStyle w:val="8"/>
              <w:jc w:val="both"/>
              <w:rPr>
                <w:rFonts w:ascii="Times New Roman"/>
                <w:color w:val="auto"/>
                <w:sz w:val="20"/>
              </w:rPr>
            </w:pPr>
          </w:p>
          <w:p w14:paraId="0C52AA7C">
            <w:pPr>
              <w:pStyle w:val="8"/>
              <w:jc w:val="both"/>
              <w:rPr>
                <w:rFonts w:ascii="Times New Roman"/>
                <w:color w:val="auto"/>
                <w:sz w:val="20"/>
              </w:rPr>
            </w:pPr>
          </w:p>
          <w:p w14:paraId="04351A7D">
            <w:pPr>
              <w:pStyle w:val="8"/>
              <w:spacing w:before="1"/>
              <w:jc w:val="both"/>
              <w:rPr>
                <w:rFonts w:ascii="Times New Roman"/>
                <w:color w:val="auto"/>
                <w:sz w:val="21"/>
              </w:rPr>
            </w:pPr>
          </w:p>
          <w:p w14:paraId="5AA517B1">
            <w:pPr>
              <w:pStyle w:val="8"/>
              <w:spacing w:line="242" w:lineRule="auto"/>
              <w:ind w:left="189" w:right="180"/>
              <w:jc w:val="both"/>
              <w:rPr>
                <w:b/>
                <w:color w:val="auto"/>
                <w:sz w:val="21"/>
              </w:rPr>
            </w:pPr>
            <w:r>
              <w:rPr>
                <w:b/>
                <w:color w:val="auto"/>
                <w:sz w:val="21"/>
              </w:rPr>
              <w:t>裁量基准</w:t>
            </w:r>
          </w:p>
        </w:tc>
        <w:tc>
          <w:tcPr>
            <w:tcW w:w="591" w:type="dxa"/>
            <w:vAlign w:val="top"/>
          </w:tcPr>
          <w:p w14:paraId="324BD148">
            <w:pPr>
              <w:pStyle w:val="8"/>
              <w:spacing w:before="7"/>
              <w:jc w:val="both"/>
              <w:rPr>
                <w:rFonts w:ascii="Times New Roman"/>
                <w:color w:val="auto"/>
                <w:sz w:val="26"/>
              </w:rPr>
            </w:pPr>
          </w:p>
          <w:p w14:paraId="4D5008BA">
            <w:pPr>
              <w:pStyle w:val="8"/>
              <w:spacing w:line="242" w:lineRule="auto"/>
              <w:ind w:left="186" w:right="182"/>
              <w:jc w:val="both"/>
              <w:rPr>
                <w:b/>
                <w:color w:val="auto"/>
                <w:sz w:val="21"/>
              </w:rPr>
            </w:pPr>
            <w:r>
              <w:rPr>
                <w:b/>
                <w:color w:val="auto"/>
                <w:sz w:val="21"/>
              </w:rPr>
              <w:t>一般情形</w:t>
            </w:r>
          </w:p>
        </w:tc>
        <w:tc>
          <w:tcPr>
            <w:tcW w:w="2716" w:type="dxa"/>
            <w:vAlign w:val="top"/>
          </w:tcPr>
          <w:p w14:paraId="5788F4FA">
            <w:pPr>
              <w:pStyle w:val="8"/>
              <w:jc w:val="both"/>
              <w:rPr>
                <w:rFonts w:ascii="Times New Roman"/>
                <w:color w:val="auto"/>
                <w:sz w:val="20"/>
              </w:rPr>
            </w:pPr>
          </w:p>
          <w:p w14:paraId="03FA413D">
            <w:pPr>
              <w:pStyle w:val="8"/>
              <w:jc w:val="both"/>
              <w:rPr>
                <w:rFonts w:ascii="Times New Roman"/>
                <w:color w:val="auto"/>
                <w:sz w:val="20"/>
              </w:rPr>
            </w:pPr>
          </w:p>
          <w:p w14:paraId="366356B8">
            <w:pPr>
              <w:pStyle w:val="8"/>
              <w:spacing w:before="120" w:line="242" w:lineRule="auto"/>
              <w:ind w:left="107" w:right="98"/>
              <w:jc w:val="both"/>
              <w:rPr>
                <w:color w:val="auto"/>
                <w:sz w:val="21"/>
              </w:rPr>
            </w:pPr>
            <w:r>
              <w:rPr>
                <w:color w:val="auto"/>
                <w:spacing w:val="-28"/>
                <w:sz w:val="21"/>
              </w:rPr>
              <w:t xml:space="preserve">处 </w:t>
            </w:r>
            <w:r>
              <w:rPr>
                <w:color w:val="auto"/>
                <w:sz w:val="21"/>
              </w:rPr>
              <w:t>0.2</w:t>
            </w:r>
            <w:r>
              <w:rPr>
                <w:color w:val="auto"/>
                <w:spacing w:val="-21"/>
                <w:sz w:val="21"/>
              </w:rPr>
              <w:t xml:space="preserve"> 万元以上 </w:t>
            </w:r>
            <w:r>
              <w:rPr>
                <w:color w:val="auto"/>
                <w:sz w:val="21"/>
              </w:rPr>
              <w:t>2</w:t>
            </w:r>
            <w:r>
              <w:rPr>
                <w:color w:val="auto"/>
                <w:spacing w:val="-17"/>
                <w:sz w:val="21"/>
              </w:rPr>
              <w:t xml:space="preserve"> 万元以下</w:t>
            </w:r>
            <w:r>
              <w:rPr>
                <w:color w:val="auto"/>
                <w:sz w:val="21"/>
              </w:rPr>
              <w:t>罚款。</w:t>
            </w:r>
          </w:p>
        </w:tc>
        <w:tc>
          <w:tcPr>
            <w:tcW w:w="2715" w:type="dxa"/>
            <w:vAlign w:val="top"/>
          </w:tcPr>
          <w:p w14:paraId="1306EF73">
            <w:pPr>
              <w:pStyle w:val="8"/>
              <w:jc w:val="both"/>
              <w:rPr>
                <w:rFonts w:ascii="Times New Roman"/>
                <w:color w:val="auto"/>
                <w:sz w:val="20"/>
              </w:rPr>
            </w:pPr>
          </w:p>
          <w:p w14:paraId="021AF1F8">
            <w:pPr>
              <w:pStyle w:val="8"/>
              <w:jc w:val="both"/>
              <w:rPr>
                <w:rFonts w:ascii="Times New Roman"/>
                <w:color w:val="auto"/>
                <w:sz w:val="20"/>
              </w:rPr>
            </w:pPr>
          </w:p>
          <w:p w14:paraId="06933013">
            <w:pPr>
              <w:pStyle w:val="8"/>
              <w:spacing w:before="120" w:line="242" w:lineRule="auto"/>
              <w:ind w:left="106" w:right="96"/>
              <w:jc w:val="both"/>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4.4</w:t>
            </w:r>
            <w:r>
              <w:rPr>
                <w:color w:val="auto"/>
                <w:spacing w:val="-16"/>
                <w:sz w:val="21"/>
              </w:rPr>
              <w:t xml:space="preserve"> 万元以下</w:t>
            </w:r>
            <w:r>
              <w:rPr>
                <w:color w:val="auto"/>
                <w:sz w:val="21"/>
              </w:rPr>
              <w:t>罚款。</w:t>
            </w:r>
          </w:p>
        </w:tc>
        <w:tc>
          <w:tcPr>
            <w:tcW w:w="2718" w:type="dxa"/>
            <w:vAlign w:val="top"/>
          </w:tcPr>
          <w:p w14:paraId="25EE0361">
            <w:pPr>
              <w:pStyle w:val="8"/>
              <w:jc w:val="both"/>
              <w:rPr>
                <w:rFonts w:ascii="Times New Roman"/>
                <w:color w:val="auto"/>
                <w:sz w:val="20"/>
              </w:rPr>
            </w:pPr>
          </w:p>
          <w:p w14:paraId="2F2F7B27">
            <w:pPr>
              <w:pStyle w:val="8"/>
              <w:jc w:val="both"/>
              <w:rPr>
                <w:rFonts w:ascii="Times New Roman"/>
                <w:color w:val="auto"/>
                <w:sz w:val="20"/>
              </w:rPr>
            </w:pPr>
          </w:p>
          <w:p w14:paraId="03AA25D4">
            <w:pPr>
              <w:pStyle w:val="8"/>
              <w:spacing w:before="120" w:line="242" w:lineRule="auto"/>
              <w:ind w:left="105" w:right="99"/>
              <w:jc w:val="both"/>
              <w:rPr>
                <w:color w:val="auto"/>
                <w:sz w:val="21"/>
              </w:rPr>
            </w:pPr>
            <w:r>
              <w:rPr>
                <w:color w:val="auto"/>
                <w:spacing w:val="-28"/>
                <w:sz w:val="21"/>
              </w:rPr>
              <w:t xml:space="preserve">处 </w:t>
            </w:r>
            <w:r>
              <w:rPr>
                <w:color w:val="auto"/>
                <w:sz w:val="21"/>
              </w:rPr>
              <w:t>4.4</w:t>
            </w:r>
            <w:r>
              <w:rPr>
                <w:color w:val="auto"/>
                <w:spacing w:val="-20"/>
                <w:sz w:val="21"/>
              </w:rPr>
              <w:t xml:space="preserve"> 万元以上 </w:t>
            </w:r>
            <w:r>
              <w:rPr>
                <w:color w:val="auto"/>
                <w:sz w:val="21"/>
              </w:rPr>
              <w:t>7.6</w:t>
            </w:r>
            <w:r>
              <w:rPr>
                <w:color w:val="auto"/>
                <w:spacing w:val="-19"/>
                <w:sz w:val="21"/>
              </w:rPr>
              <w:t xml:space="preserve"> 万元以</w:t>
            </w:r>
            <w:r>
              <w:rPr>
                <w:color w:val="auto"/>
                <w:spacing w:val="-1"/>
                <w:sz w:val="21"/>
              </w:rPr>
              <w:t>下罚款。</w:t>
            </w:r>
          </w:p>
        </w:tc>
        <w:tc>
          <w:tcPr>
            <w:tcW w:w="3901" w:type="dxa"/>
            <w:vAlign w:val="top"/>
          </w:tcPr>
          <w:p w14:paraId="79AFF24D">
            <w:pPr>
              <w:pStyle w:val="8"/>
              <w:jc w:val="both"/>
              <w:rPr>
                <w:rFonts w:ascii="Times New Roman"/>
                <w:color w:val="auto"/>
                <w:sz w:val="20"/>
              </w:rPr>
            </w:pPr>
          </w:p>
          <w:p w14:paraId="49D440AA">
            <w:pPr>
              <w:pStyle w:val="8"/>
              <w:jc w:val="both"/>
              <w:rPr>
                <w:rFonts w:ascii="Times New Roman"/>
                <w:color w:val="auto"/>
                <w:sz w:val="20"/>
              </w:rPr>
            </w:pPr>
          </w:p>
          <w:p w14:paraId="3218DB4D">
            <w:pPr>
              <w:pStyle w:val="8"/>
              <w:spacing w:before="1"/>
              <w:jc w:val="both"/>
              <w:rPr>
                <w:rFonts w:ascii="Times New Roman"/>
                <w:color w:val="auto"/>
                <w:sz w:val="22"/>
              </w:rPr>
            </w:pPr>
          </w:p>
          <w:p w14:paraId="6A96C707">
            <w:pPr>
              <w:pStyle w:val="8"/>
              <w:ind w:left="102"/>
              <w:jc w:val="both"/>
              <w:rPr>
                <w:color w:val="auto"/>
                <w:sz w:val="21"/>
              </w:rPr>
            </w:pPr>
            <w:r>
              <w:rPr>
                <w:color w:val="auto"/>
                <w:sz w:val="21"/>
              </w:rPr>
              <w:t>处 7.6 万元以上 10 万元以下罚款。</w:t>
            </w:r>
          </w:p>
        </w:tc>
      </w:tr>
      <w:tr w14:paraId="40F90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562" w:type="dxa"/>
            <w:vMerge w:val="continue"/>
            <w:tcBorders>
              <w:top w:val="nil"/>
            </w:tcBorders>
            <w:vAlign w:val="top"/>
          </w:tcPr>
          <w:p w14:paraId="770FA29F">
            <w:pPr>
              <w:jc w:val="both"/>
              <w:rPr>
                <w:color w:val="auto"/>
                <w:sz w:val="2"/>
                <w:szCs w:val="2"/>
              </w:rPr>
            </w:pPr>
          </w:p>
        </w:tc>
        <w:tc>
          <w:tcPr>
            <w:tcW w:w="593" w:type="dxa"/>
            <w:vMerge w:val="continue"/>
            <w:tcBorders>
              <w:top w:val="nil"/>
            </w:tcBorders>
            <w:vAlign w:val="top"/>
          </w:tcPr>
          <w:p w14:paraId="0DC91304">
            <w:pPr>
              <w:jc w:val="both"/>
              <w:rPr>
                <w:color w:val="auto"/>
                <w:sz w:val="2"/>
                <w:szCs w:val="2"/>
              </w:rPr>
            </w:pPr>
          </w:p>
        </w:tc>
        <w:tc>
          <w:tcPr>
            <w:tcW w:w="591" w:type="dxa"/>
            <w:vAlign w:val="top"/>
          </w:tcPr>
          <w:p w14:paraId="1F469543">
            <w:pPr>
              <w:pStyle w:val="8"/>
              <w:spacing w:before="169" w:line="242" w:lineRule="auto"/>
              <w:ind w:left="186" w:right="182"/>
              <w:jc w:val="both"/>
              <w:rPr>
                <w:b/>
                <w:color w:val="auto"/>
                <w:sz w:val="21"/>
              </w:rPr>
            </w:pPr>
            <w:r>
              <w:rPr>
                <w:b/>
                <w:color w:val="auto"/>
                <w:sz w:val="21"/>
              </w:rPr>
              <w:t>情节严重的</w:t>
            </w:r>
          </w:p>
        </w:tc>
        <w:tc>
          <w:tcPr>
            <w:tcW w:w="2716" w:type="dxa"/>
            <w:vAlign w:val="top"/>
          </w:tcPr>
          <w:p w14:paraId="66C43AC4">
            <w:pPr>
              <w:pStyle w:val="8"/>
              <w:jc w:val="both"/>
              <w:rPr>
                <w:rFonts w:ascii="Times New Roman"/>
                <w:color w:val="auto"/>
                <w:sz w:val="20"/>
              </w:rPr>
            </w:pPr>
          </w:p>
        </w:tc>
        <w:tc>
          <w:tcPr>
            <w:tcW w:w="2715" w:type="dxa"/>
            <w:vAlign w:val="top"/>
          </w:tcPr>
          <w:p w14:paraId="1BCA443C">
            <w:pPr>
              <w:pStyle w:val="8"/>
              <w:jc w:val="both"/>
              <w:rPr>
                <w:rFonts w:ascii="Times New Roman"/>
                <w:color w:val="auto"/>
                <w:sz w:val="20"/>
              </w:rPr>
            </w:pPr>
          </w:p>
          <w:p w14:paraId="67D02189">
            <w:pPr>
              <w:pStyle w:val="8"/>
              <w:jc w:val="both"/>
              <w:rPr>
                <w:rFonts w:ascii="Times New Roman"/>
                <w:color w:val="auto"/>
                <w:sz w:val="20"/>
              </w:rPr>
            </w:pPr>
          </w:p>
          <w:p w14:paraId="0749368A">
            <w:pPr>
              <w:pStyle w:val="8"/>
              <w:spacing w:before="119" w:line="242" w:lineRule="auto"/>
              <w:ind w:left="106" w:right="96"/>
              <w:jc w:val="both"/>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22</w:t>
            </w:r>
            <w:r>
              <w:rPr>
                <w:color w:val="auto"/>
                <w:spacing w:val="-16"/>
                <w:sz w:val="21"/>
              </w:rPr>
              <w:t xml:space="preserve"> 万元以下</w:t>
            </w:r>
            <w:r>
              <w:rPr>
                <w:color w:val="auto"/>
                <w:sz w:val="21"/>
              </w:rPr>
              <w:t>罚款。</w:t>
            </w:r>
          </w:p>
        </w:tc>
        <w:tc>
          <w:tcPr>
            <w:tcW w:w="2718" w:type="dxa"/>
            <w:vAlign w:val="top"/>
          </w:tcPr>
          <w:p w14:paraId="74BFF2F8">
            <w:pPr>
              <w:pStyle w:val="8"/>
              <w:jc w:val="both"/>
              <w:rPr>
                <w:rFonts w:ascii="Times New Roman"/>
                <w:color w:val="auto"/>
                <w:sz w:val="20"/>
              </w:rPr>
            </w:pPr>
          </w:p>
          <w:p w14:paraId="136E2FA4">
            <w:pPr>
              <w:pStyle w:val="8"/>
              <w:jc w:val="both"/>
              <w:rPr>
                <w:rFonts w:ascii="Times New Roman"/>
                <w:color w:val="auto"/>
                <w:sz w:val="20"/>
              </w:rPr>
            </w:pPr>
          </w:p>
          <w:p w14:paraId="358EA870">
            <w:pPr>
              <w:pStyle w:val="8"/>
              <w:spacing w:before="119" w:line="242" w:lineRule="auto"/>
              <w:ind w:left="105" w:right="99"/>
              <w:jc w:val="both"/>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万元以下</w:t>
            </w:r>
            <w:r>
              <w:rPr>
                <w:color w:val="auto"/>
                <w:sz w:val="21"/>
              </w:rPr>
              <w:t>罚款。</w:t>
            </w:r>
          </w:p>
        </w:tc>
        <w:tc>
          <w:tcPr>
            <w:tcW w:w="3901" w:type="dxa"/>
            <w:vAlign w:val="top"/>
          </w:tcPr>
          <w:p w14:paraId="695D8261">
            <w:pPr>
              <w:pStyle w:val="8"/>
              <w:jc w:val="both"/>
              <w:rPr>
                <w:rFonts w:ascii="Times New Roman"/>
                <w:color w:val="auto"/>
                <w:sz w:val="20"/>
              </w:rPr>
            </w:pPr>
          </w:p>
          <w:p w14:paraId="18930A09">
            <w:pPr>
              <w:pStyle w:val="8"/>
              <w:jc w:val="both"/>
              <w:rPr>
                <w:rFonts w:ascii="Times New Roman"/>
                <w:color w:val="auto"/>
                <w:sz w:val="20"/>
              </w:rPr>
            </w:pPr>
          </w:p>
          <w:p w14:paraId="22C7D00A">
            <w:pPr>
              <w:pStyle w:val="8"/>
              <w:jc w:val="both"/>
              <w:rPr>
                <w:rFonts w:ascii="Times New Roman"/>
                <w:color w:val="auto"/>
                <w:sz w:val="22"/>
              </w:rPr>
            </w:pPr>
          </w:p>
          <w:p w14:paraId="4E87F1B1">
            <w:pPr>
              <w:pStyle w:val="8"/>
              <w:spacing w:before="1"/>
              <w:ind w:left="102"/>
              <w:jc w:val="both"/>
              <w:rPr>
                <w:color w:val="auto"/>
                <w:sz w:val="21"/>
              </w:rPr>
            </w:pPr>
            <w:r>
              <w:rPr>
                <w:color w:val="auto"/>
                <w:sz w:val="21"/>
              </w:rPr>
              <w:t>处 38 万元以上 50 万元以下罚款。</w:t>
            </w:r>
          </w:p>
        </w:tc>
      </w:tr>
    </w:tbl>
    <w:p w14:paraId="6B3514D0">
      <w:pPr>
        <w:jc w:val="both"/>
        <w:rPr>
          <w:color w:val="auto"/>
        </w:rPr>
      </w:pPr>
    </w:p>
    <w:p w14:paraId="694AE650">
      <w:pPr>
        <w:pStyle w:val="2"/>
        <w:ind w:left="0" w:firstLine="0" w:firstLineChars="0"/>
        <w:jc w:val="both"/>
        <w:rPr>
          <w:rFonts w:hint="eastAsia" w:ascii="方正小标宋简体" w:hAnsi="方正小标宋简体" w:eastAsia="方正小标宋简体" w:cs="方正小标宋简体"/>
          <w:color w:val="auto"/>
          <w:lang w:eastAsia="zh-CN"/>
        </w:rPr>
      </w:pPr>
    </w:p>
    <w:p w14:paraId="44E4FDFA">
      <w:pPr>
        <w:pStyle w:val="2"/>
        <w:ind w:firstLine="440" w:firstLineChars="100"/>
        <w:jc w:val="both"/>
        <w:rPr>
          <w:rFonts w:hint="eastAsia" w:ascii="方正小标宋简体" w:hAnsi="方正小标宋简体" w:eastAsia="方正小标宋简体" w:cs="方正小标宋简体"/>
          <w:color w:val="auto"/>
          <w:lang w:eastAsia="zh-CN"/>
        </w:rPr>
      </w:pPr>
    </w:p>
    <w:p w14:paraId="1D116F1D">
      <w:pPr>
        <w:jc w:val="both"/>
        <w:rPr>
          <w:color w:val="auto"/>
        </w:rPr>
      </w:pPr>
    </w:p>
    <w:p w14:paraId="6CB59E55">
      <w:pPr>
        <w:jc w:val="both"/>
        <w:rPr>
          <w:color w:val="auto"/>
        </w:rPr>
      </w:pPr>
    </w:p>
    <w:p w14:paraId="700CD9A5">
      <w:pPr>
        <w:jc w:val="both"/>
      </w:pPr>
    </w:p>
    <w:sectPr>
      <w:footerReference r:id="rId5" w:type="default"/>
      <w:pgSz w:w="16838" w:h="11906" w:orient="landscape"/>
      <w:pgMar w:top="1803" w:right="1440" w:bottom="1803" w:left="144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7A231">
    <w:pPr>
      <w:pStyle w:val="4"/>
      <w:tabs>
        <w:tab w:val="center" w:pos="7020"/>
      </w:tabs>
      <w:spacing w:line="14" w:lineRule="auto"/>
      <w:rPr>
        <w:sz w:val="20"/>
      </w:rPr>
    </w:pPr>
    <w:r>
      <w:rPr>
        <w:rFonts w:hint="eastAsia"/>
        <w:sz w:val="20"/>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9C22E">
    <w:pPr>
      <w:pStyle w:val="4"/>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39140" cy="2038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39140" cy="203835"/>
                      </a:xfrm>
                      <a:prstGeom prst="rect">
                        <a:avLst/>
                      </a:prstGeom>
                      <a:noFill/>
                      <a:ln>
                        <a:noFill/>
                      </a:ln>
                    </wps:spPr>
                    <wps:txbx>
                      <w:txbxContent>
                        <w:p w14:paraId="57FF292F">
                          <w:pPr>
                            <w:spacing w:before="0" w:line="321" w:lineRule="exact"/>
                            <w:ind w:left="20" w:right="0" w:firstLine="0"/>
                            <w:jc w:val="left"/>
                            <w:rPr>
                              <w:rFonts w:hint="default" w:ascii="宋体" w:hAnsi="宋体" w:eastAsiaTheme="minorEastAsia"/>
                              <w:sz w:val="28"/>
                              <w:lang w:val="en-US" w:eastAsia="zh-CN"/>
                            </w:rPr>
                          </w:pPr>
                        </w:p>
                      </w:txbxContent>
                    </wps:txbx>
                    <wps:bodyPr lIns="0" tIns="0" rIns="0" bIns="0" upright="1"/>
                  </wps:wsp>
                </a:graphicData>
              </a:graphic>
            </wp:anchor>
          </w:drawing>
        </mc:Choice>
        <mc:Fallback>
          <w:pict>
            <v:shape id="_x0000_s1026" o:spid="_x0000_s1026" o:spt="202" type="#_x0000_t202" style="position:absolute;left:0pt;margin-top:0pt;height:16.05pt;width:58.2pt;mso-position-horizontal:center;mso-position-horizontal-relative:margin;z-index:251659264;mso-width-relative:page;mso-height-relative:page;" filled="f" stroked="f" coordsize="21600,21600" o:gfxdata="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cC+N9QAAAAEAQAADwAAAAAAAAABACAAAAAiAAAAZHJzL2Rvd25yZXYueG1sUEsBAhQAFAAA&#10;AAgAh07iQMA5v8i6AQAAcQMAAA4AAAAAAAAAAQAgAAAAIwEAAGRycy9lMm9Eb2MueG1sUEsFBgAA&#10;AAAGAAYAWQEAAE8FAAAAAA==&#10;">
              <v:fill on="f" focussize="0,0"/>
              <v:stroke on="f"/>
              <v:imagedata o:title=""/>
              <o:lock v:ext="edit" aspectratio="f"/>
              <v:textbox inset="0mm,0mm,0mm,0mm">
                <w:txbxContent>
                  <w:p w14:paraId="57FF292F">
                    <w:pPr>
                      <w:spacing w:before="0" w:line="321" w:lineRule="exact"/>
                      <w:ind w:left="20" w:right="0" w:firstLine="0"/>
                      <w:jc w:val="left"/>
                      <w:rPr>
                        <w:rFonts w:hint="default" w:ascii="宋体" w:hAnsi="宋体" w:eastAsiaTheme="minorEastAsia"/>
                        <w:sz w:val="28"/>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54174">
    <w:pPr>
      <w:pStyle w:val="4"/>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645AD2"/>
    <w:multiLevelType w:val="singleLevel"/>
    <w:tmpl w:val="64645AD2"/>
    <w:lvl w:ilvl="0" w:tentative="0">
      <w:start w:val="1"/>
      <w:numFmt w:val="decimal"/>
      <w:suff w:val="nothing"/>
      <w:lvlText w:val="%1."/>
      <w:lvlJc w:val="left"/>
    </w:lvl>
  </w:abstractNum>
  <w:abstractNum w:abstractNumId="1">
    <w:nsid w:val="6465E621"/>
    <w:multiLevelType w:val="singleLevel"/>
    <w:tmpl w:val="6465E62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mNThiZTAzYjE5MTA2MDU2NzE1ZTZhMGFkOTJiNjUifQ=="/>
  </w:docVars>
  <w:rsids>
    <w:rsidRoot w:val="45E059C6"/>
    <w:rsid w:val="100F04FC"/>
    <w:rsid w:val="18DE313E"/>
    <w:rsid w:val="45E05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56"/>
      <w:ind w:left="195"/>
      <w:outlineLvl w:val="1"/>
    </w:pPr>
    <w:rPr>
      <w:rFonts w:ascii="PMingLiU" w:hAnsi="PMingLiU" w:eastAsia="PMingLiU" w:cs="PMingLiU"/>
      <w:sz w:val="44"/>
      <w:szCs w:val="44"/>
      <w:lang w:val="zh-CN" w:eastAsia="zh-CN" w:bidi="zh-CN"/>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uiPriority w:val="0"/>
    <w:pPr>
      <w:spacing w:before="0" w:after="140" w:line="276" w:lineRule="auto"/>
    </w:p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7b7d522d-817e-42c4-8a1e-e6ff0dbb0924</errorID>
      <errorWord>品</errorWord>
      <group>L1_Word</group>
      <groupName>字词问题</groupName>
      <ability>L2_Typo</ability>
      <abilityName>字词错误</abilityName>
      <candidateList>
        <item>品行</item>
      </candidateList>
      <explain/>
      <paraID>5F790E32</paraID>
      <start>9</start>
      <end>11</end>
      <status>modified</status>
      <modifiedWord>品行</modifiedWord>
      <trackRevisions>false</trackRevisions>
    </reviewItem>
    <reviewItem>
      <errorID>dc90e3c9-c877-496d-870f-afbf91dfcfe0</errorID>
      <errorWord>量</errorWord>
      <group>L1_Word</group>
      <groupName>字词问题</groupName>
      <ability>L2_Typo</ability>
      <abilityName>字词错误</abilityName>
      <candidateList>
        <item>量的</item>
      </candidateList>
      <explain/>
      <paraID>5F790E32</paraID>
      <start>19</start>
      <end>21</end>
      <status>modified</status>
      <modifiedWord>量的</modifiedWord>
      <trackRevisions>false</trackRevisions>
    </reviewItem>
    <reviewItem>
      <errorID>2967a911-2f09-44a2-872a-ebea595437c2</errorID>
      <errorWord>法律、法规</errorWord>
      <group>L1_Word</group>
      <groupName>字词问题</groupName>
      <ability>L2_Typo</ability>
      <abilityName>字词错误</abilityName>
      <candidateList>
        <item>法律法规</item>
      </candidateList>
      <explain/>
      <paraID>1BFD95F3</paraID>
      <start>13</start>
      <end>18</end>
      <status>ignored</status>
      <modifiedWord/>
      <trackRevisions>false</trackRevisions>
    </reviewItem>
    <reviewItem>
      <errorID>8358d883-094d-4a01-86d0-4650a1faebf3</errorID>
      <errorWord>法律、法规</errorWord>
      <group>L1_Word</group>
      <groupName>字词问题</groupName>
      <ability>L2_Typo</ability>
      <abilityName>字词错误</abilityName>
      <candidateList>
        <item>法律法规</item>
      </candidateList>
      <explain/>
      <paraID>1BFD95F3</paraID>
      <start>30</start>
      <end>35</end>
      <status>ignored</status>
      <modifiedWord/>
      <trackRevisions>false</trackRevisions>
    </reviewItem>
    <reviewItem>
      <errorID>9c163b20-3a44-4da8-8bb5-149a0808b60b</errorID>
      <errorWord>《药品管理法》</errorWord>
      <group>L1_Word</group>
      <groupName>字词问题</groupName>
      <ability>L2_Typo</ability>
      <abilityName>字词错误</abilityName>
      <candidateList>
        <item>《中华人民共和国药品管理法》</item>
      </candidateList>
      <explain/>
      <paraID>776CF12A</paraID>
      <start>0</start>
      <end>14</end>
      <status>modified</status>
      <modifiedWord>《中华人民共和国药品管理法》</modifiedWord>
      <trackRevisions>false</trackRevisions>
    </reviewItem>
    <reviewItem>
      <errorID>3af0e4a0-0cba-48c8-b8ea-1a1994b24312</errorID>
      <errorWord>《药品管理法》</errorWord>
      <group>L1_Word</group>
      <groupName>字词问题</groupName>
      <ability>L2_Typo</ability>
      <abilityName>字词错误</abilityName>
      <candidateList>
        <item>《中华人民共和国药品管理法》</item>
      </candidateList>
      <explain/>
      <paraID>469E98A6</paraID>
      <start>29</start>
      <end>43</end>
      <status>modified</status>
      <modifiedWord>《中华人民共和国药品管理法》</modifiedWord>
      <trackRevisions>false</trackRevisions>
    </reviewItem>
    <reviewItem>
      <errorID>c48b5ce1-98ec-4560-b1d8-6f7001550c1e</errorID>
      <errorWord>《药品管理法》</errorWord>
      <group>L1_Word</group>
      <groupName>字词问题</groupName>
      <ability>L2_Typo</ability>
      <abilityName>字词错误</abilityName>
      <candidateList>
        <item>《中华人民共和国药品管理法》</item>
      </candidateList>
      <explain/>
      <paraID>46DB3AD2</paraID>
      <start>0</start>
      <end>14</end>
      <status>modified</status>
      <modifiedWord>《中华人民共和国药品管理法》</modifiedWord>
      <trackRevisions>false</trackRevisions>
    </reviewItem>
    <reviewItem>
      <errorID>9c046098-b777-4a6f-8e29-59c075cbb1f1</errorID>
      <errorWord>.</errorWord>
      <group>L1_Word</group>
      <groupName>字词问题</groupName>
      <ability>L2_Typo</ability>
      <abilityName>字词错误</abilityName>
      <candidateList>
        <item>.价</item>
      </candidateList>
      <explain/>
      <paraID>1F9A1FE0</paraID>
      <start>1</start>
      <end>3</end>
      <status>modified</status>
      <modifiedWord>.价</modifiedWord>
      <trackRevisions>false</trackRevisions>
    </reviewItem>
    <reviewItem>
      <errorID>e30725d2-fd59-447d-b585-444ec3464660</errorID>
      <errorWord>《药品管理法》</errorWord>
      <group>L1_Word</group>
      <groupName>字词问题</groupName>
      <ability>L2_Typo</ability>
      <abilityName>字词错误</abilityName>
      <candidateList>
        <item>《中华人民共和国药品管理法》</item>
      </candidateList>
      <explain/>
      <paraID>6591CE58</paraID>
      <start>0</start>
      <end>14</end>
      <status>modified</status>
      <modifiedWord>《中华人民共和国药品管理法》</modifiedWord>
      <trackRevisions>false</trackRevisions>
    </reviewItem>
    <reviewItem>
      <errorID>f2ad3c76-9d7f-4ef5-81d4-fbe2311aaf22</errorID>
      <errorWord>《药品管理法》</errorWord>
      <group>L1_Word</group>
      <groupName>字词问题</groupName>
      <ability>L2_Typo</ability>
      <abilityName>字词错误</abilityName>
      <candidateList>
        <item>《中华人民共和国药品管理法》</item>
      </candidateList>
      <explain/>
      <paraID>43E8713D</paraID>
      <start>0</start>
      <end>14</end>
      <status>modified</status>
      <modifiedWord>《中华人民共和国药品管理法》</modifiedWord>
      <trackRevisions>false</trackRevisions>
    </reviewItem>
    <reviewItem>
      <errorID>b9361f67-3dc7-4b54-9498-b1f0e6ffd5ae</errorID>
      <errorWord>《药品管理法》</errorWord>
      <group>L1_Word</group>
      <groupName>字词问题</groupName>
      <ability>L2_Typo</ability>
      <abilityName>字词错误</abilityName>
      <candidateList>
        <item>《中华人民共和国药品管理法》</item>
      </candidateList>
      <explain/>
      <paraID>53FA2C1F</paraID>
      <start>0</start>
      <end>14</end>
      <status>modified</status>
      <modifiedWord>《中华人民共和国药品管理法》</modifiedWord>
      <trackRevisions>false</trackRevisions>
    </reviewItem>
    <reviewItem>
      <errorID>31ea346a-1704-462e-aa0e-d656ed2dde0e</errorID>
      <errorWord>、或者</errorWord>
      <group>L1_Word</group>
      <groupName>字词问题</groupName>
      <ability>L2_Typo</ability>
      <abilityName>字词错误</abilityName>
      <candidateList>
        <item>，或者</item>
      </candidateList>
      <explain/>
      <paraID>53FA2C1F</paraID>
      <start>31</start>
      <end>34</end>
      <status>modified</status>
      <modifiedWord>，或者</modifiedWord>
      <trackRevisions>false</trackRevisions>
    </reviewItem>
    <reviewItem>
      <errorID>be73d0c9-ad60-413d-9d11-1d238c718285</errorID>
      <errorWord>《药品管理法》</errorWord>
      <group>L1_Word</group>
      <groupName>字词问题</groupName>
      <ability>L2_Typo</ability>
      <abilityName>字词错误</abilityName>
      <candidateList>
        <item>《中华人民共和国药品管理法》</item>
      </candidateList>
      <explain/>
      <paraID>7C9278E6</paraID>
      <start>16</start>
      <end>30</end>
      <status>modified</status>
      <modifiedWord>《中华人民共和国药品管理法》</modifiedWord>
      <trackRevisions>false</trackRevisions>
    </reviewItem>
    <reviewItem>
      <errorID>11cd1779-4281-4973-9dad-9ffb94e1a8c3</errorID>
      <errorWord>《药品管理法》</errorWord>
      <group>L1_Word</group>
      <groupName>字词问题</groupName>
      <ability>L2_Typo</ability>
      <abilityName>字词错误</abilityName>
      <candidateList>
        <item>《中华人民共和国药品管理法》</item>
      </candidateList>
      <explain/>
      <paraID>1C1E6848</paraID>
      <start>0</start>
      <end>14</end>
      <status>modified</status>
      <modifiedWord>《中华人民共和国药品管理法》</modifiedWord>
      <trackRevisions>false</trackRevisions>
    </reviewItem>
    <reviewItem>
      <errorID>3da4c700-c74f-4a24-b8ad-80b549aac214</errorID>
      <errorWord>《药品管理法》</errorWord>
      <group>L1_Word</group>
      <groupName>字词问题</groupName>
      <ability>L2_Typo</ability>
      <abilityName>字词错误</abilityName>
      <candidateList>
        <item>《中华人民共和国药品管理法》</item>
      </candidateList>
      <explain/>
      <paraID>488B88EC</paraID>
      <start>0</start>
      <end>14</end>
      <status>modified</status>
      <modifiedWord>《中华人民共和国药品管理法》</modifiedWord>
      <trackRevisions>false</trackRevisions>
    </reviewItem>
    <reviewItem>
      <errorID>8d6ac9e9-9d27-4d85-9d48-7e5cd4fe6e8e</errorID>
      <errorWord>《药品管理法》</errorWord>
      <group>L1_Word</group>
      <groupName>字词问题</groupName>
      <ability>L2_Typo</ability>
      <abilityName>字词错误</abilityName>
      <candidateList>
        <item>《中华人民共和国药品管理法》</item>
      </candidateList>
      <explain/>
      <paraID>1F95E14A</paraID>
      <start>0</start>
      <end>14</end>
      <status>modified</status>
      <modifiedWord>《中华人民共和国药品管理法》</modifiedWord>
      <trackRevisions>false</trackRevisions>
    </reviewItem>
    <reviewItem>
      <errorID>d7c14be1-6770-43fd-85da-b4c18dda43d1</errorID>
      <errorWord>《药品管理法》</errorWord>
      <group>L1_Word</group>
      <groupName>字词问题</groupName>
      <ability>L2_Typo</ability>
      <abilityName>字词错误</abilityName>
      <candidateList>
        <item>《中华人民共和国药品管理法》</item>
      </candidateList>
      <explain/>
      <paraID>621D8CBB</paraID>
      <start>72</start>
      <end>86</end>
      <status>modified</status>
      <modifiedWord>《中华人民共和国药品管理法》</modifiedWord>
      <trackRevisions>false</trackRevisions>
    </reviewItem>
    <reviewItem>
      <errorID>30faf627-ac12-4649-afc2-cd732b5906e2</errorID>
      <errorWord>《药品管理法》</errorWord>
      <group>L1_Word</group>
      <groupName>字词问题</groupName>
      <ability>L2_Typo</ability>
      <abilityName>字词错误</abilityName>
      <candidateList>
        <item>《中华人民共和国药品管理法》</item>
      </candidateList>
      <explain/>
      <paraID>396F3BA2</paraID>
      <start>2</start>
      <end>16</end>
      <status>modified</status>
      <modifiedWord>《中华人民共和国药品管理法》</modifiedWord>
      <trackRevisions>false</trackRevisions>
    </reviewItem>
    <reviewItem>
      <errorID>04354191-73e3-4ee0-acc7-01129ae788d4</errorID>
      <errorWord>《药品管理法》</errorWord>
      <group>L1_Word</group>
      <groupName>字词问题</groupName>
      <ability>L2_Typo</ability>
      <abilityName>字词错误</abilityName>
      <candidateList>
        <item>《中华人民共和国药品管理法》</item>
      </candidateList>
      <explain/>
      <paraID>418E2474</paraID>
      <start>0</start>
      <end>14</end>
      <status>modified</status>
      <modifiedWord>《中华人民共和国药品管理法》</modifiedWord>
      <trackRevisions>false</trackRevisions>
    </reviewItem>
    <reviewItem>
      <errorID>275cf530-c77c-491e-bd3a-293e833346c1</errorID>
      <errorWord>《药品管理法》</errorWord>
      <group>L1_Word</group>
      <groupName>字词问题</groupName>
      <ability>L2_Typo</ability>
      <abilityName>字词错误</abilityName>
      <candidateList>
        <item>《中华人民共和国药品管理法》</item>
      </candidateList>
      <explain/>
      <paraID>325CECA5</paraID>
      <start>2</start>
      <end>16</end>
      <status>modified</status>
      <modifiedWord>《中华人民共和国药品管理法》</modifiedWord>
      <trackRevisions>false</trackRevisions>
    </reviewItem>
    <reviewItem>
      <errorID>eab6ecbd-6f27-4ffd-ac71-e0f5f0601dec</errorID>
      <errorWord>《药品管理法》</errorWord>
      <group>L1_Word</group>
      <groupName>字词问题</groupName>
      <ability>L2_Typo</ability>
      <abilityName>字词错误</abilityName>
      <candidateList>
        <item>《中华人民共和国药品管理法》</item>
      </candidateList>
      <explain/>
      <paraID>4B46CF79</paraID>
      <start>0</start>
      <end>14</end>
      <status>modified</status>
      <modifiedWord>《中华人民共和国药品管理法》</modifiedWord>
      <trackRevisions>false</trackRevisions>
    </reviewItem>
    <reviewItem>
      <errorID>b4eb1454-585c-4743-b381-fb3dd5531522</errorID>
      <errorWord>《药品管理法》</errorWord>
      <group>L1_Word</group>
      <groupName>字词问题</groupName>
      <ability>L2_Typo</ability>
      <abilityName>字词错误</abilityName>
      <candidateList>
        <item>《中华人民共和国药品管理法》</item>
      </candidateList>
      <explain/>
      <paraID>1E7D11A6</paraID>
      <start>34</start>
      <end>48</end>
      <status>modified</status>
      <modifiedWord>《中华人民共和国药品管理法》</modifiedWord>
      <trackRevisions>false</trackRevisions>
    </reviewItem>
    <reviewItem>
      <errorID>bc16a102-531f-414a-b2e1-0502f50b4f9e</errorID>
      <errorWord>《药品管理法》</errorWord>
      <group>L1_Word</group>
      <groupName>字词问题</groupName>
      <ability>L2_Typo</ability>
      <abilityName>字词错误</abilityName>
      <candidateList>
        <item>《中华人民共和国药品管理法》</item>
      </candidateList>
      <explain/>
      <paraID>1E7D11A6</paraID>
      <start>74</start>
      <end>88</end>
      <status>modified</status>
      <modifiedWord>《中华人民共和国药品管理法》</modifiedWord>
      <trackRevisions>false</trackRevisions>
    </reviewItem>
    <reviewItem>
      <errorID>70bf4046-009f-4e1d-bac5-8a869e701803</errorID>
      <errorWord>生</errorWord>
      <group>L1_Word</group>
      <groupName>字词问题</groupName>
      <ability>L2_Typo</ability>
      <abilityName>字词错误</abilityName>
      <candidateList>
        <item>生产</item>
      </candidateList>
      <explain/>
      <paraID>2E870DFD</paraID>
      <start>12</start>
      <end>14</end>
      <status>modified</status>
      <modifiedWord>生产</modifiedWord>
      <trackRevisions>false</trackRevisions>
    </reviewItem>
    <reviewItem>
      <errorID>8877c034-73bc-4f4c-8ff3-69dbce560334</errorID>
      <errorWord>《药品管理法》</errorWord>
      <group>L1_Word</group>
      <groupName>字词问题</groupName>
      <ability>L2_Typo</ability>
      <abilityName>字词错误</abilityName>
      <candidateList>
        <item>《中华人民共和国药品管理法》</item>
      </candidateList>
      <explain/>
      <paraID>3B994C2E</paraID>
      <start>2</start>
      <end>16</end>
      <status>modified</status>
      <modifiedWord>《中华人民共和国药品管理法》</modifiedWord>
      <trackRevisions>false</trackRevisions>
    </reviewItem>
    <reviewItem>
      <errorID>13f9c5aa-e59e-4837-9904-b84fc7e1f8e3</errorID>
      <errorWord>《药品管理法》</errorWord>
      <group>L1_Word</group>
      <groupName>字词问题</groupName>
      <ability>L2_Typo</ability>
      <abilityName>字词错误</abilityName>
      <candidateList>
        <item>《中华人民共和国药品管理法》</item>
      </candidateList>
      <explain/>
      <paraID>5CFCB330</paraID>
      <start>0</start>
      <end>14</end>
      <status>modified</status>
      <modifiedWord>《中华人民共和国药品管理法》</modifiedWord>
      <trackRevisions>false</trackRevisions>
    </reviewItem>
    <reviewItem>
      <errorID>8499b8f5-33e8-446d-b5c1-030e2b90b1e6</errorID>
      <errorWord>《药品管理法》</errorWord>
      <group>L1_Word</group>
      <groupName>字词问题</groupName>
      <ability>L2_Typo</ability>
      <abilityName>字词错误</abilityName>
      <candidateList>
        <item>《中华人民共和国药品管理法》</item>
      </candidateList>
      <explain/>
      <paraID>4D085306</paraID>
      <start>90</start>
      <end>104</end>
      <status>modified</status>
      <modifiedWord>《中华人民共和国药品管理法》</modifiedWord>
      <trackRevisions>false</trackRevisions>
    </reviewItem>
    <reviewItem>
      <errorID>692256e6-a9fe-492f-a795-1d469148d29c</errorID>
      <errorWord>《药品管理法》</errorWord>
      <group>L1_Word</group>
      <groupName>字词问题</groupName>
      <ability>L2_Typo</ability>
      <abilityName>字词错误</abilityName>
      <candidateList>
        <item>《中华人民共和国药品管理法》</item>
      </candidateList>
      <explain/>
      <paraID>27DDBDAC</paraID>
      <start>109</start>
      <end>123</end>
      <status>modified</status>
      <modifiedWord>《中华人民共和国药品管理法》</modifiedWord>
      <trackRevisions>false</trackRevisions>
    </reviewItem>
    <reviewItem>
      <errorID>6e8247ee-e353-4644-b376-e9474f0868d0</errorID>
      <errorWord>《药品管理法》</errorWord>
      <group>L1_Word</group>
      <groupName>字词问题</groupName>
      <ability>L2_Typo</ability>
      <abilityName>字词错误</abilityName>
      <candidateList>
        <item>《中华人民共和国药品管理法》</item>
      </candidateList>
      <explain/>
      <paraID>702E3254</paraID>
      <start>2</start>
      <end>16</end>
      <status>modified</status>
      <modifiedWord>《中华人民共和国药品管理法》</modifiedWord>
      <trackRevisions>false</trackRevisions>
    </reviewItem>
    <reviewItem>
      <errorID>c8ef2219-0bed-414b-b57b-230c8ac48c31</errorID>
      <errorWord>《药品管理法》</errorWord>
      <group>L1_Word</group>
      <groupName>字词问题</groupName>
      <ability>L2_Typo</ability>
      <abilityName>字词错误</abilityName>
      <candidateList>
        <item>《中华人民共和国药品管理法》</item>
      </candidateList>
      <explain/>
      <paraID>7530A6A7</paraID>
      <start>0</start>
      <end>14</end>
      <status>modified</status>
      <modifiedWord>《中华人民共和国药品管理法》</modifiedWord>
      <trackRevisions>false</trackRevisions>
    </reviewItem>
    <reviewItem>
      <errorID>030676c2-4d35-429c-b180-9c883e026e09</errorID>
      <errorWord>《药品管理法》</errorWord>
      <group>L1_Word</group>
      <groupName>字词问题</groupName>
      <ability>L2_Typo</ability>
      <abilityName>字词错误</abilityName>
      <candidateList>
        <item>《中华人民共和国药品管理法》</item>
      </candidateList>
      <explain/>
      <paraID>7BB92699</paraID>
      <start>34</start>
      <end>48</end>
      <status>modified</status>
      <modifiedWord>《中华人民共和国药品管理法》</modifiedWord>
      <trackRevisions>false</trackRevisions>
    </reviewItem>
    <reviewItem>
      <errorID>45fc2394-15fd-402c-af69-ec03c92f5b83</errorID>
      <errorWord>《药品管理法》</errorWord>
      <group>L1_Word</group>
      <groupName>字词问题</groupName>
      <ability>L2_Typo</ability>
      <abilityName>字词错误</abilityName>
      <candidateList>
        <item>《中华人民共和国药品管理法》</item>
      </candidateList>
      <explain/>
      <paraID>7BB92699</paraID>
      <start>74</start>
      <end>88</end>
      <status>modified</status>
      <modifiedWord>《中华人民共和国药品管理法》</modifiedWord>
      <trackRevisions>false</trackRevisions>
    </reviewItem>
    <reviewItem>
      <errorID>e04f997a-f2e5-43d8-9260-c56d885f3d55</errorID>
      <errorWord>《药品管理法》</errorWord>
      <group>L1_Word</group>
      <groupName>字词问题</groupName>
      <ability>L2_Typo</ability>
      <abilityName>字词错误</abilityName>
      <candidateList>
        <item>《中华人民共和国药品管理法》</item>
      </candidateList>
      <explain/>
      <paraID>58ECAB38</paraID>
      <start>92</start>
      <end>106</end>
      <status>modified</status>
      <modifiedWord>《中华人民共和国药品管理法》</modifiedWord>
      <trackRevisions>false</trackRevisions>
    </reviewItem>
    <reviewItem>
      <errorID>74c470d4-0cca-4918-84fd-9147ab87e173</errorID>
      <errorWord>《药品管理法》</errorWord>
      <group>L1_Word</group>
      <groupName>字词问题</groupName>
      <ability>L2_Typo</ability>
      <abilityName>字词错误</abilityName>
      <candidateList>
        <item>《中华人民共和国药品管理法》</item>
      </candidateList>
      <explain/>
      <paraID>729D34BB</paraID>
      <start>0</start>
      <end>14</end>
      <status>modified</status>
      <modifiedWord>《中华人民共和国药品管理法》</modifiedWord>
      <trackRevisions>false</trackRevisions>
    </reviewItem>
    <reviewItem>
      <errorID>f64cc049-f91f-47bc-971e-936dfaf5baf8</errorID>
      <errorWord>《药品管理法》</errorWord>
      <group>L1_Word</group>
      <groupName>字词问题</groupName>
      <ability>L2_Typo</ability>
      <abilityName>字词错误</abilityName>
      <candidateList>
        <item>《中华人民共和国药品管理法》</item>
      </candidateList>
      <explain/>
      <paraID>718671B5</paraID>
      <start>0</start>
      <end>14</end>
      <status>modified</status>
      <modifiedWord>《中华人民共和国药品管理法》</modifiedWord>
      <trackRevisions>false</trackRevisions>
    </reviewItem>
    <reviewItem>
      <errorID>43d73db0-9fe2-4fe9-a68b-78f5af45a513</errorID>
      <errorWord>《药品管理法》</errorWord>
      <group>L1_Word</group>
      <groupName>字词问题</groupName>
      <ability>L2_Typo</ability>
      <abilityName>字词错误</abilityName>
      <candidateList>
        <item>《中华人民共和国药品管理法》</item>
      </candidateList>
      <explain/>
      <paraID>77724F98</paraID>
      <start>2</start>
      <end>16</end>
      <status>modified</status>
      <modifiedWord>《中华人民共和国药品管理法》</modifiedWord>
      <trackRevisions>false</trackRevisions>
    </reviewItem>
    <reviewItem>
      <errorID>da9a871f-327b-4684-a46e-fe99b7720d9c</errorID>
      <errorWord>《药品管理法》</errorWord>
      <group>L1_Word</group>
      <groupName>字词问题</groupName>
      <ability>L2_Typo</ability>
      <abilityName>字词错误</abilityName>
      <candidateList>
        <item>《中华人民共和国药品管理法》</item>
      </candidateList>
      <explain/>
      <paraID>5A40B9BA</paraID>
      <start>0</start>
      <end>14</end>
      <status>modified</status>
      <modifiedWord>《中华人民共和国药品管理法》</modifiedWord>
      <trackRevisions>false</trackRevisions>
    </reviewItem>
    <reviewItem>
      <errorID>b5515d80-5238-48dd-a4d0-66877a361ad5</errorID>
      <errorWord>配置</errorWord>
      <group>L1_Word</group>
      <groupName>字词问题</groupName>
      <ability>L2_Typo</ability>
      <abilityName>字词错误</abilityName>
      <candidateList>
        <item>配制</item>
      </candidateList>
      <explain/>
      <paraID>5A40B9BA</paraID>
      <start>35</start>
      <end>37</end>
      <status>modified</status>
      <modifiedWord>配制</modifiedWord>
      <trackRevisions>false</trackRevisions>
    </reviewItem>
    <reviewItem>
      <errorID>dcc29c3f-7843-420f-8254-64fe08292f17</errorID>
      <errorWord>《药品管理法》</errorWord>
      <group>L1_Word</group>
      <groupName>字词问题</groupName>
      <ability>L2_Typo</ability>
      <abilityName>字词错误</abilityName>
      <candidateList>
        <item>《中华人民共和国药品管理法》</item>
      </candidateList>
      <explain/>
      <paraID>42879152</paraID>
      <start>0</start>
      <end>14</end>
      <status>modified</status>
      <modifiedWord>《中华人民共和国药品管理法》</modifiedWord>
      <trackRevisions>false</trackRevisions>
    </reviewItem>
    <reviewItem>
      <errorID>a3201a5d-b18a-4fad-9fc8-ebc6c9eee0d6</errorID>
      <errorWord>《药品管理法》</errorWord>
      <group>L1_Word</group>
      <groupName>字词问题</groupName>
      <ability>L2_Typo</ability>
      <abilityName>字词错误</abilityName>
      <candidateList>
        <item>《中华人民共和国药品管理法》</item>
      </candidateList>
      <explain/>
      <paraID>68F85237</paraID>
      <start>0</start>
      <end>14</end>
      <status>modified</status>
      <modifiedWord>《中华人民共和国药品管理法》</modifiedWord>
      <trackRevisions>false</trackRevisions>
    </reviewItem>
    <reviewItem>
      <errorID>ab377a27-3c60-4eea-87b5-8bce8e05a3d3</errorID>
      <errorWord>《药品管理法》</errorWord>
      <group>L1_Word</group>
      <groupName>字词问题</groupName>
      <ability>L2_Typo</ability>
      <abilityName>字词错误</abilityName>
      <candidateList>
        <item>《中华人民共和国药品管理法》</item>
      </candidateList>
      <explain/>
      <paraID> 653A7A0</paraID>
      <start>0</start>
      <end>14</end>
      <status>modified</status>
      <modifiedWord>《中华人民共和国药品管理法》</modifiedWord>
      <trackRevisions>false</trackRevisions>
    </reviewItem>
    <reviewItem>
      <errorID>ee4bd648-71f8-4d3f-911a-70d6481058df</errorID>
      <errorWord>(</errorWord>
      <group>L1_Format</group>
      <groupName>格式问题</groupName>
      <ability>L2_HalfPunc_CN</ability>
      <abilityName>全半角问题</abilityName>
      <candidateList>
        <item>（</item>
      </candidateList>
      <explain>文本全半角错误。</explain>
      <paraID>445E254A</paraID>
      <start>20</start>
      <end>21</end>
      <status>modified</status>
      <modifiedWord>（</modifiedWord>
      <trackRevisions>false</trackRevisions>
    </reviewItem>
    <reviewItem>
      <errorID>4d111b32-9857-41d3-ab87-586c0ea242ba</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61698701</paraID>
      <start>1</start>
      <end>13</end>
      <status>modified</status>
      <modifiedWord>中华人民共和国疫苗管理法</modifiedWord>
      <trackRevisions>false</trackRevisions>
    </reviewItem>
    <reviewItem>
      <errorID>6b6fc194-2831-40cc-a65f-7f80b5bf7a75</errorID>
      <errorWord>倍</errorWord>
      <group>L1_Word</group>
      <groupName>字词问题</groupName>
      <ability>L2_Typo</ability>
      <abilityName>字词错误</abilityName>
      <candidateList>
        <item>倍以</item>
      </candidateList>
      <explain/>
      <paraID> 9926677</paraID>
      <start>22</start>
      <end>24</end>
      <status>modified</status>
      <modifiedWord>倍以</modifiedWord>
      <trackRevisions>false</trackRevisions>
    </reviewItem>
    <reviewItem>
      <errorID>8b3d8703-54ab-4933-a47e-7667d7d1ed20</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694F7BF4</paraID>
      <start>1</start>
      <end>13</end>
      <status>modified</status>
      <modifiedWord>中华人民共和国疫苗管理法</modifiedWord>
      <trackRevisions>false</trackRevisions>
    </reviewItem>
    <reviewItem>
      <errorID>88f19709-78f7-44d6-9f94-d5d10b23a661</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117FE20A</paraID>
      <start>1</start>
      <end>13</end>
      <status>modified</status>
      <modifiedWord>中华人民共和国疫苗管理法</modifiedWord>
      <trackRevisions>false</trackRevisions>
    </reviewItem>
    <reviewItem>
      <errorID>9c8f0db3-4559-4ec8-9353-bb9cba43ea9d</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 9DA5E23</paraID>
      <start>3</start>
      <end>15</end>
      <status>modified</status>
      <modifiedWord>中华人民共和国疫苗管理法</modifiedWord>
      <trackRevisions>false</trackRevisions>
    </reviewItem>
    <reviewItem>
      <errorID>09741a61-a777-4eb0-bc84-9f6d6ec5065e</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 EA5206F</paraID>
      <start>1</start>
      <end>13</end>
      <status>modified</status>
      <modifiedWord>中华人民共和国疫苗管理法</modifiedWord>
      <trackRevisions>false</trackRevisions>
    </reviewItem>
    <reviewItem>
      <errorID>d70bb8ee-8728-41c4-8e9a-2735675a8432</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 4207897</paraID>
      <start>1</start>
      <end>13</end>
      <status>modified</status>
      <modifiedWord>中华人民共和国疫苗管理法</modifiedWord>
      <trackRevisions>false</trackRevisions>
    </reviewItem>
    <reviewItem>
      <errorID>eb3b0a18-5b73-4715-a15c-8720b284b6ea</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7A157F34</paraID>
      <start>3</start>
      <end>15</end>
      <status>modified</status>
      <modifiedWord>中华人民共和国疫苗管理法</modifiedWord>
      <trackRevisions>false</trackRevisions>
    </reviewItem>
    <reviewItem>
      <errorID>1970c473-210a-47f8-b95d-b3a9a821fb4b</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 A078290</paraID>
      <start>1</start>
      <end>13</end>
      <status>modified</status>
      <modifiedWord>中华人民共和国疫苗管理法</modifiedWord>
      <trackRevisions>false</trackRevisions>
    </reviewItem>
    <reviewItem>
      <errorID>31220332-74d1-4163-b0e8-773f5da24e95</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3191920A</paraID>
      <start>1</start>
      <end>13</end>
      <status>modified</status>
      <modifiedWord>中华人民共和国疫苗管理法</modifiedWord>
      <trackRevisions>false</trackRevisions>
    </reviewItem>
    <reviewItem>
      <errorID>ee501fc9-225e-40e7-adb1-25878da1ddc1</errorID>
      <errorWord>,</errorWord>
      <group>L1_Format</group>
      <groupName>格式问题</groupName>
      <ability>L2_HalfPunc_CN</ability>
      <abilityName>全半角问题</abilityName>
      <candidateList>
        <item>，</item>
      </candidateList>
      <explain>文本全半角错误。</explain>
      <paraID>42687A17</paraID>
      <start>65</start>
      <end>66</end>
      <status>modified</status>
      <modifiedWord>，</modifiedWord>
      <trackRevisions>false</trackRevisions>
    </reviewItem>
    <reviewItem>
      <errorID>e703ec9a-baa4-4172-9057-78d2b2d45809</errorID>
      <errorWord>;</errorWord>
      <group>L1_Format</group>
      <groupName>格式问题</groupName>
      <ability>L2_HalfPunc_CN</ability>
      <abilityName>全半角问题</abilityName>
      <candidateList>
        <item>；</item>
      </candidateList>
      <explain>文本全半角错误。</explain>
      <paraID>42687A17</paraID>
      <start>85</start>
      <end>86</end>
      <status>modified</status>
      <modifiedWord>；</modifiedWord>
      <trackRevisions>false</trackRevisions>
    </reviewItem>
    <reviewItem>
      <errorID>aa1d45ef-d15d-4e88-8fb3-4494d62523ed</errorID>
      <errorWord>;</errorWord>
      <group>L1_Format</group>
      <groupName>格式问题</groupName>
      <ability>L2_HalfPunc_CN</ability>
      <abilityName>全半角问题</abilityName>
      <candidateList>
        <item>；</item>
      </candidateList>
      <explain>文本全半角错误。</explain>
      <paraID>1D06CFC8</paraID>
      <start>26</start>
      <end>27</end>
      <status>modified</status>
      <modifiedWord>；</modifiedWord>
      <trackRevisions>false</trackRevisions>
    </reviewItem>
    <reviewItem>
      <errorID>ec37b0c2-a92f-49bc-b347-1c35a79804c0</errorID>
      <errorWord>,</errorWord>
      <group>L1_Format</group>
      <groupName>格式问题</groupName>
      <ability>L2_HalfPunc_CN</ability>
      <abilityName>全半角问题</abilityName>
      <candidateList>
        <item>，</item>
      </candidateList>
      <explain>文本全半角错误。</explain>
      <paraID> B2E55C9</paraID>
      <start>65</start>
      <end>66</end>
      <status>modified</status>
      <modifiedWord>，</modifiedWord>
      <trackRevisions>false</trackRevisions>
    </reviewItem>
    <reviewItem>
      <errorID>53112dee-8781-4bc1-978b-5e8cb052afd9</errorID>
      <errorWord>;</errorWord>
      <group>L1_Format</group>
      <groupName>格式问题</groupName>
      <ability>L2_HalfPunc_CN</ability>
      <abilityName>全半角问题</abilityName>
      <candidateList>
        <item>；</item>
      </candidateList>
      <explain>文本全半角错误。</explain>
      <paraID> B2E55C9</paraID>
      <start>85</start>
      <end>86</end>
      <status>modified</status>
      <modifiedWord>；</modifiedWord>
      <trackRevisions>false</trackRevisions>
    </reviewItem>
    <reviewItem>
      <errorID>0b30332c-c1fd-4acb-a10a-a5e3105c7603</errorID>
      <errorWord>;</errorWord>
      <group>L1_Format</group>
      <groupName>格式问题</groupName>
      <ability>L2_HalfPunc_CN</ability>
      <abilityName>全半角问题</abilityName>
      <candidateList>
        <item>；</item>
      </candidateList>
      <explain>文本全半角错误。</explain>
      <paraID>69428E47</paraID>
      <start>26</start>
      <end>27</end>
      <status>modified</status>
      <modifiedWord>；</modifiedWord>
      <trackRevisions>false</trackRevisions>
    </reviewItem>
    <reviewItem>
      <errorID>44a4e2de-9cb5-42fe-a6cc-e39b74420b17</errorID>
      <errorWord>,</errorWord>
      <group>L1_Format</group>
      <groupName>格式问题</groupName>
      <ability>L2_HalfPunc_CN</ability>
      <abilityName>全半角问题</abilityName>
      <candidateList>
        <item>，</item>
      </candidateList>
      <explain>文本全半角错误。</explain>
      <paraID>3C66C59D</paraID>
      <start>65</start>
      <end>66</end>
      <status>modified</status>
      <modifiedWord>，</modifiedWord>
      <trackRevisions>false</trackRevisions>
    </reviewItem>
    <reviewItem>
      <errorID>bce847fc-4e2a-4fcf-8aba-f477c24efcd7</errorID>
      <errorWord>;</errorWord>
      <group>L1_Format</group>
      <groupName>格式问题</groupName>
      <ability>L2_HalfPunc_CN</ability>
      <abilityName>全半角问题</abilityName>
      <candidateList>
        <item>；</item>
      </candidateList>
      <explain>文本全半角错误。</explain>
      <paraID>3C66C59D</paraID>
      <start>85</start>
      <end>86</end>
      <status>modified</status>
      <modifiedWord>；</modifiedWord>
      <trackRevisions>false</trackRevisions>
    </reviewItem>
    <reviewItem>
      <errorID>dcdd0f33-774c-453a-a477-73bf66b71b1a</errorID>
      <errorWord>;</errorWord>
      <group>L1_Format</group>
      <groupName>格式问题</groupName>
      <ability>L2_HalfPunc_CN</ability>
      <abilityName>全半角问题</abilityName>
      <candidateList>
        <item>；</item>
      </candidateList>
      <explain>文本全半角错误。</explain>
      <paraID>6616CE56</paraID>
      <start>26</start>
      <end>27</end>
      <status>modified</status>
      <modifiedWord>；</modifiedWord>
      <trackRevisions>false</trackRevisions>
    </reviewItem>
    <reviewItem>
      <errorID>78f49d76-53a4-4bd0-a2ca-22a4bfbabe8f</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1043A5F3</paraID>
      <start>1</start>
      <end>13</end>
      <status>modified</status>
      <modifiedWord>中华人民共和国疫苗管理法</modifiedWord>
      <trackRevisions>false</trackRevisions>
    </reviewItem>
    <reviewItem>
      <errorID>eaa087a1-9288-498a-a13d-e981dcc66cce</errorID>
      <errorWord>法律、法规</errorWord>
      <group>L1_Word</group>
      <groupName>字词问题</groupName>
      <ability>L2_Typo</ability>
      <abilityName>字词错误</abilityName>
      <candidateList>
        <item>法律法规</item>
      </candidateList>
      <explain/>
      <paraID>3E0E9539</paraID>
      <start>13</start>
      <end>18</end>
      <status>ignored</status>
      <modifiedWord/>
      <trackRevisions>false</trackRevisions>
    </reviewItem>
    <reviewItem>
      <errorID>a69ab51d-c94c-4238-bd50-f82806193be5</errorID>
      <errorWord>法律、法规</errorWord>
      <group>L1_Word</group>
      <groupName>字词问题</groupName>
      <ability>L2_Typo</ability>
      <abilityName>字词错误</abilityName>
      <candidateList>
        <item>法律法规</item>
      </candidateList>
      <explain/>
      <paraID>3E0E9539</paraID>
      <start>30</start>
      <end>35</end>
      <status>ignored</status>
      <modifiedWord/>
      <trackRevisions>false</trackRevisions>
    </reviewItem>
    <reviewItem>
      <errorID>a5905127-2e95-40ad-983a-2e8da8e25e8c</errorID>
      <errorWord>,</errorWord>
      <group>L1_Format</group>
      <groupName>格式问题</groupName>
      <ability>L2_HalfPunc_CN</ability>
      <abilityName>全半角问题</abilityName>
      <candidateList>
        <item>，</item>
      </candidateList>
      <explain>文本全半角错误。</explain>
      <paraID>29693FB3</paraID>
      <start>24</start>
      <end>25</end>
      <status>modified</status>
      <modifiedWord>，</modifiedWord>
      <trackRevisions>false</trackRevisions>
    </reviewItem>
    <reviewItem>
      <errorID>b6f4c5b9-f86d-4198-a0d3-84206480a66d</errorID>
      <errorWord>1</errorWord>
      <group>L1_Word</group>
      <groupName>字词问题</groupName>
      <ability>L2_Typo</ability>
      <abilityName>字词错误</abilityName>
      <candidateList>
        <item/>
      </candidateList>
      <explain/>
      <paraID>178DBE1B</paraID>
      <start>11</start>
      <end>11</end>
      <status>modified</status>
      <modifiedWord/>
      <trackRevisions>false</trackRevisions>
    </reviewItem>
    <reviewItem>
      <errorID>ccfdc620-a125-4d3a-9324-e239d5ab0b45</errorID>
      <errorWord>1</errorWord>
      <group>L1_Word</group>
      <groupName>字词问题</groupName>
      <ability>L2_Typo</ability>
      <abilityName>字词错误</abilityName>
      <candidateList>
        <item/>
      </candidateList>
      <explain/>
      <paraID> C88A7FF</paraID>
      <start>11</start>
      <end>11</end>
      <status>modified</status>
      <modifiedWord/>
      <trackRevisions>false</trackRevisions>
    </reviewItem>
    <reviewItem>
      <errorID>a58e9cab-8357-41a3-abfa-bc481a1fe40f</errorID>
      <errorWord>1</errorWord>
      <group>L1_Word</group>
      <groupName>字词问题</groupName>
      <ability>L2_Typo</ability>
      <abilityName>字词错误</abilityName>
      <candidateList>
        <item/>
      </candidateList>
      <explain/>
      <paraID>615D5205</paraID>
      <start>4</start>
      <end>4</end>
      <status>modified</status>
      <modifiedWord/>
      <trackRevisions>false</trackRevisions>
    </reviewItem>
    <reviewItem>
      <errorID>79ea1ef1-8e11-4c9e-aca4-abca692cd63b</errorID>
      <errorWord>1</errorWord>
      <group>L1_Word</group>
      <groupName>字词问题</groupName>
      <ability>L2_Typo</ability>
      <abilityName>字词错误</abilityName>
      <candidateList>
        <item/>
      </candidateList>
      <explain/>
      <paraID>5E044581</paraID>
      <start>11</start>
      <end>11</end>
      <status>modified</status>
      <modifiedWord/>
      <trackRevisions>false</trackRevisions>
    </reviewItem>
    <reviewItem>
      <errorID>3de0ba67-f00e-4923-87b6-a7cb30a6440d</errorID>
      <errorWord>六</errorWord>
      <group>L1_Word</group>
      <groupName>字词问题</groupName>
      <ability>L2_Typo</ability>
      <abilityName>字词错误</abilityName>
      <candidateList>
        <item>六条</item>
      </candidateList>
      <explain/>
      <paraID>1BCAF108</paraID>
      <start>17</start>
      <end>19</end>
      <status>modified</status>
      <modifiedWord>六条</modifiedWord>
      <trackRevisions>false</trackRevisions>
    </reviewItem>
    <reviewItem>
      <errorID>00e530ef-f354-431e-ab7a-1c128fc22e9b</errorID>
      <errorWord>1</errorWord>
      <group>L1_Word</group>
      <groupName>字词问题</groupName>
      <ability>L2_Typo</ability>
      <abilityName>字词错误</abilityName>
      <candidateList>
        <item/>
      </candidateList>
      <explain/>
      <paraID>5DD20D0E</paraID>
      <start>11</start>
      <end>11</end>
      <status>modified</status>
      <modifiedWord/>
      <trackRevisions>false</trackRevisions>
    </reviewItem>
    <reviewItem>
      <errorID>f641d6bc-8e65-4e58-a5b2-dda83a1178ae</errorID>
      <errorWord>处</errorWord>
      <group>L1_Word</group>
      <groupName>字词问题</groupName>
      <ability>L2_Typo</ability>
      <abilityName>字词错误</abilityName>
      <candidateList>
        <item>处罚</item>
      </candidateList>
      <explain/>
      <paraID> 2A2B0FE</paraID>
      <start>10</start>
      <end>12</end>
      <status>modified</status>
      <modifiedWord>处罚</modifiedWord>
      <trackRevisions>false</trackRevisions>
    </reviewItem>
    <reviewItem>
      <errorID>0ba1d51d-303e-43ab-b3f9-8e4d3b615903</errorID>
      <errorWord>处</errorWord>
      <group>L1_Word</group>
      <groupName>字词问题</groupName>
      <ability>L2_Typo</ability>
      <abilityName>字词错误</abilityName>
      <candidateList>
        <item>处罚</item>
      </candidateList>
      <explain/>
      <paraID>5FACBD54</paraID>
      <start>10</start>
      <end>12</end>
      <status>modified</status>
      <modifiedWord>处罚</modifiedWord>
      <trackRevisions>false</trackRevisions>
    </reviewItem>
    <reviewItem>
      <errorID>211b5b29-fa9b-407d-acda-c6d956245d8d</errorID>
      <errorWord>法律、法规</errorWord>
      <group>L1_Word</group>
      <groupName>字词问题</groupName>
      <ability>L2_Typo</ability>
      <abilityName>字词错误</abilityName>
      <candidateList>
        <item>法律法规</item>
      </candidateList>
      <explain/>
      <paraID>788911C4</paraID>
      <start>13</start>
      <end>18</end>
      <status>ignored</status>
      <modifiedWord/>
      <trackRevisions>false</trackRevisions>
    </reviewItem>
    <reviewItem>
      <errorID>345e909a-e4d8-468d-83bb-f04663d88c4a</errorID>
      <errorWord>法律、法规</errorWord>
      <group>L1_Word</group>
      <groupName>字词问题</groupName>
      <ability>L2_Typo</ability>
      <abilityName>字词错误</abilityName>
      <candidateList>
        <item>法律法规</item>
      </candidateList>
      <explain/>
      <paraID>788911C4</paraID>
      <start>30</start>
      <end>35</end>
      <status>ignored</status>
      <modifiedWord/>
      <trackRevisions>false</trackRevisions>
    </reviewItem>
    <reviewItem>
      <errorID>63b06a33-4837-4649-a0f8-3b7af27be82c</errorID>
      <errorWord>金</errorWord>
      <group>L1_Word</group>
      <groupName>字词问题</groupName>
      <ability>L2_Typo</ability>
      <abilityName>字词错误</abilityName>
      <candidateList>
        <item>金额</item>
      </candidateList>
      <explain/>
      <paraID>7D61CF93</paraID>
      <start>49</start>
      <end>51</end>
      <status>modified</status>
      <modifiedWord>金额</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261411-d940-46c2-8167-2c36c01defb2}">
  <ds:schemaRefs/>
</ds:datastoreItem>
</file>

<file path=docProps/app.xml><?xml version="1.0" encoding="utf-8"?>
<Properties xmlns="http://schemas.openxmlformats.org/officeDocument/2006/extended-properties" xmlns:vt="http://schemas.openxmlformats.org/officeDocument/2006/docPropsVTypes">
  <Template>Normal.dotm</Template>
  <Pages>63</Pages>
  <Words>41358</Words>
  <Characters>43236</Characters>
  <Lines>0</Lines>
  <Paragraphs>0</Paragraphs>
  <TotalTime>22</TotalTime>
  <ScaleCrop>false</ScaleCrop>
  <LinksUpToDate>false</LinksUpToDate>
  <CharactersWithSpaces>44595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2023-06-13T07:33:00Z</dcterms:created>
  <dc:creator>Administrator</dc:creator>
  <cp:lastModifiedBy>uos</cp:lastModifiedBy>
  <dcterms:modified xsi:type="dcterms:W3CDTF">2026-07-21T14:47:05Z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C6B0C1378CBD4C5FB144D60D38EA7FC7_12</vt:lpwstr>
  </property>
  <property fmtid="{D5CDD505-2E9C-101B-9397-08002B2CF9AE}" pid="4" name="KSOTemplateDocerSaveRecord">
    <vt:lpwstr>eyJoZGlkIjoiNzc5ZTdjY2I2ZDZjMWFiNGE3MzM3N2M5OTZhNjljNzYiLCJ1c2VySWQiOiIzOTY5NTMxMTIifQ==</vt:lpwstr>
  </property>
</Properties>
</file>