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D645">
      <w:pPr>
        <w:spacing w:line="264" w:lineRule="auto"/>
        <w:rPr>
          <w:rFonts w:ascii="Arial" w:hAnsi="Arial"/>
          <w:sz w:val="21"/>
        </w:rPr>
      </w:pPr>
    </w:p>
    <w:p w14:paraId="3B0B60A1">
      <w:pPr>
        <w:spacing w:before="110" w:line="223" w:lineRule="auto"/>
        <w:ind w:left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附件2</w:t>
      </w:r>
    </w:p>
    <w:p w14:paraId="729C9403">
      <w:pPr>
        <w:spacing w:before="192" w:line="218" w:lineRule="auto"/>
        <w:ind w:left="23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整体支出绩效自评报告</w:t>
      </w:r>
    </w:p>
    <w:p w14:paraId="3138285A">
      <w:pPr>
        <w:spacing w:before="275" w:line="226" w:lineRule="auto"/>
        <w:ind w:left="371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4"/>
          <w:sz w:val="34"/>
          <w:szCs w:val="34"/>
        </w:rPr>
        <w:t>(2023年度)</w:t>
      </w:r>
    </w:p>
    <w:p w14:paraId="7B657D49">
      <w:pPr>
        <w:spacing w:line="247" w:lineRule="auto"/>
        <w:rPr>
          <w:rFonts w:ascii="Arial" w:hAnsi="Arial"/>
          <w:sz w:val="21"/>
        </w:rPr>
      </w:pPr>
    </w:p>
    <w:p w14:paraId="747423B7">
      <w:pPr>
        <w:spacing w:line="247" w:lineRule="auto"/>
        <w:rPr>
          <w:rFonts w:ascii="Arial" w:hAnsi="Arial"/>
          <w:sz w:val="21"/>
        </w:rPr>
      </w:pPr>
    </w:p>
    <w:p w14:paraId="22892C69">
      <w:pPr>
        <w:spacing w:line="247" w:lineRule="auto"/>
        <w:rPr>
          <w:rFonts w:ascii="Arial" w:hAnsi="Arial"/>
          <w:sz w:val="21"/>
        </w:rPr>
      </w:pPr>
    </w:p>
    <w:p w14:paraId="7483641A">
      <w:pPr>
        <w:spacing w:before="110" w:line="221" w:lineRule="auto"/>
        <w:ind w:left="75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一、部门概况</w:t>
      </w:r>
    </w:p>
    <w:p w14:paraId="44F24677">
      <w:pPr>
        <w:spacing w:before="178" w:line="300" w:lineRule="auto"/>
        <w:ind w:firstLine="9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8"/>
          <w:sz w:val="34"/>
          <w:szCs w:val="34"/>
        </w:rPr>
        <w:t>(一)部门主要职责职能，组织架构、人员及资产等</w:t>
      </w:r>
      <w:r>
        <w:rPr>
          <w:rFonts w:ascii="楷体" w:hAnsi="楷体" w:eastAsia="楷体" w:cs="楷体"/>
          <w:spacing w:val="-9"/>
          <w:sz w:val="34"/>
          <w:szCs w:val="34"/>
        </w:rPr>
        <w:t>基本</w:t>
      </w:r>
      <w:r>
        <w:rPr>
          <w:rFonts w:ascii="楷体" w:hAnsi="楷体" w:eastAsia="楷体" w:cs="楷体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5"/>
          <w:sz w:val="34"/>
          <w:szCs w:val="34"/>
        </w:rPr>
        <w:t>情况。</w:t>
      </w:r>
    </w:p>
    <w:p w14:paraId="7D571BFF">
      <w:pPr>
        <w:spacing w:line="578" w:lineRule="exact"/>
        <w:ind w:firstLine="800" w:firstLineChars="250"/>
        <w:rPr>
          <w:rFonts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t>(1）贯彻执行党的宗教工作基本方针和国家管理宗教事务法律法规。</w:t>
      </w:r>
    </w:p>
    <w:p w14:paraId="0C0ED36E">
      <w:pPr>
        <w:spacing w:line="578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t>（2）加强与少数民族代表人士的联系。</w:t>
      </w:r>
    </w:p>
    <w:p w14:paraId="7DD983B3">
      <w:pPr>
        <w:spacing w:line="578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t>（3）加强民族团结，维护社会稳定。</w:t>
      </w:r>
    </w:p>
    <w:p w14:paraId="7331D277">
      <w:pPr>
        <w:spacing w:line="578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t>（4）依法加强对宗教场所的管理，引导宗教与社会主义社会相适应。</w:t>
      </w:r>
    </w:p>
    <w:p w14:paraId="7D70B799">
      <w:pPr>
        <w:pStyle w:val="5"/>
        <w:spacing w:before="125" w:line="314" w:lineRule="auto"/>
        <w:ind w:right="139" w:firstLine="664"/>
        <w:rPr>
          <w:rFonts w:ascii="仿宋_GB2312" w:hAnsi="ˎ̥" w:eastAsia="仿宋_GB2312"/>
          <w:sz w:val="32"/>
          <w:szCs w:val="32"/>
        </w:rPr>
      </w:pPr>
      <w:r>
        <w:rPr>
          <w:rFonts w:ascii="仿宋_GB2312" w:hAnsi="ˎ̥" w:eastAsia="仿宋_GB2312"/>
          <w:sz w:val="32"/>
          <w:szCs w:val="32"/>
        </w:rPr>
        <w:t>（5）承办区委、区政府及市委统战部、市民宗局等部门交办的其他事项。</w:t>
      </w:r>
    </w:p>
    <w:p w14:paraId="034EC29D">
      <w:pPr>
        <w:pStyle w:val="5"/>
        <w:spacing w:before="112" w:line="312" w:lineRule="auto"/>
        <w:ind w:right="125" w:firstLine="774"/>
        <w:rPr>
          <w:rFonts w:ascii="仿宋_GB2312" w:hAnsi="ˎ̥" w:eastAsia="仿宋_GB2312"/>
          <w:sz w:val="32"/>
          <w:szCs w:val="32"/>
        </w:rPr>
      </w:pPr>
      <w:r>
        <w:rPr>
          <w:b/>
          <w:bCs/>
          <w:spacing w:val="-11"/>
          <w:sz w:val="33"/>
          <w:szCs w:val="33"/>
        </w:rPr>
        <w:t>组织架构：</w:t>
      </w:r>
      <w:r>
        <w:rPr>
          <w:rFonts w:ascii="仿宋_GB2312" w:hAnsi="ˎ̥" w:eastAsia="仿宋_GB2312"/>
          <w:sz w:val="32"/>
          <w:szCs w:val="32"/>
        </w:rPr>
        <w:t>林周县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甘曲</w:t>
      </w:r>
      <w:r>
        <w:rPr>
          <w:rFonts w:ascii="仿宋_GB2312" w:hAnsi="ˎ̥" w:eastAsia="仿宋_GB2312"/>
          <w:sz w:val="32"/>
          <w:szCs w:val="32"/>
        </w:rPr>
        <w:t>寺管委会，属行政单位,内设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4</w:t>
      </w:r>
      <w:r>
        <w:rPr>
          <w:rFonts w:ascii="仿宋_GB2312" w:hAnsi="ˎ̥" w:eastAsia="仿宋_GB2312"/>
          <w:sz w:val="32"/>
          <w:szCs w:val="32"/>
        </w:rPr>
        <w:t>个（正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县级</w:t>
      </w:r>
      <w:r>
        <w:rPr>
          <w:rFonts w:ascii="仿宋_GB2312" w:hAnsi="ˎ̥" w:eastAsia="仿宋_GB2312"/>
          <w:sz w:val="32"/>
          <w:szCs w:val="32"/>
        </w:rPr>
        <w:t>）科室：综合办公室、宗教事务科、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文物资产科、</w:t>
      </w:r>
      <w:r>
        <w:rPr>
          <w:rFonts w:ascii="仿宋_GB2312" w:hAnsi="ˎ̥" w:eastAsia="仿宋_GB2312"/>
          <w:sz w:val="32"/>
          <w:szCs w:val="32"/>
        </w:rPr>
        <w:t>宣传教育科。</w:t>
      </w:r>
    </w:p>
    <w:p w14:paraId="4787B54D">
      <w:pPr>
        <w:pStyle w:val="5"/>
        <w:spacing w:before="112" w:line="312" w:lineRule="auto"/>
        <w:ind w:right="125" w:firstLine="774"/>
        <w:rPr>
          <w:sz w:val="33"/>
          <w:szCs w:val="33"/>
        </w:rPr>
      </w:pPr>
      <w:r>
        <w:rPr>
          <w:b/>
          <w:bCs/>
          <w:spacing w:val="-3"/>
          <w:sz w:val="33"/>
          <w:szCs w:val="33"/>
        </w:rPr>
        <w:t>人员情况：</w:t>
      </w:r>
      <w:r>
        <w:rPr>
          <w:spacing w:val="-3"/>
          <w:sz w:val="33"/>
          <w:szCs w:val="33"/>
        </w:rPr>
        <w:t>截至2023年12月31日，我管委会编制人数</w:t>
      </w:r>
      <w:r>
        <w:rPr>
          <w:rFonts w:hint="eastAsia"/>
          <w:spacing w:val="-3"/>
          <w:sz w:val="33"/>
          <w:szCs w:val="33"/>
          <w:lang w:val="en-US" w:eastAsia="zh-CN"/>
        </w:rPr>
        <w:t>10</w:t>
      </w:r>
      <w:r>
        <w:rPr>
          <w:spacing w:val="-3"/>
          <w:sz w:val="33"/>
          <w:szCs w:val="33"/>
        </w:rPr>
        <w:t>人，</w:t>
      </w:r>
      <w:r>
        <w:rPr>
          <w:spacing w:val="17"/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较上年度无变化，年末实有人数</w:t>
      </w:r>
      <w:r>
        <w:rPr>
          <w:rFonts w:hint="eastAsia"/>
          <w:spacing w:val="4"/>
          <w:sz w:val="33"/>
          <w:szCs w:val="33"/>
          <w:lang w:val="en-US" w:eastAsia="zh-CN"/>
        </w:rPr>
        <w:t>9</w:t>
      </w:r>
      <w:r>
        <w:rPr>
          <w:spacing w:val="4"/>
          <w:sz w:val="33"/>
          <w:szCs w:val="33"/>
        </w:rPr>
        <w:t>人，较上年度增加</w:t>
      </w:r>
      <w:r>
        <w:rPr>
          <w:rFonts w:hint="eastAsia"/>
          <w:spacing w:val="4"/>
          <w:sz w:val="33"/>
          <w:szCs w:val="33"/>
          <w:lang w:val="en-US" w:eastAsia="zh-CN"/>
        </w:rPr>
        <w:t>2</w:t>
      </w:r>
      <w:r>
        <w:rPr>
          <w:spacing w:val="4"/>
          <w:sz w:val="33"/>
          <w:szCs w:val="33"/>
        </w:rPr>
        <w:t>人，</w:t>
      </w:r>
      <w:r>
        <w:rPr>
          <w:spacing w:val="1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其中政府机关人员0人</w:t>
      </w:r>
      <w:r>
        <w:rPr>
          <w:spacing w:val="3"/>
          <w:sz w:val="33"/>
          <w:szCs w:val="33"/>
        </w:rPr>
        <w:t>。</w:t>
      </w:r>
    </w:p>
    <w:p w14:paraId="5109C66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420" w:lineRule="atLeast"/>
        <w:ind w:left="0" w:right="0" w:firstLine="420"/>
        <w:jc w:val="both"/>
        <w:rPr>
          <w:rFonts w:ascii="仿宋" w:hAnsi="仿宋" w:eastAsia="仿宋" w:cs="仿宋"/>
          <w:snapToGrid w:val="0"/>
          <w:color w:val="000000"/>
          <w:spacing w:val="-4"/>
          <w:kern w:val="0"/>
          <w:sz w:val="33"/>
          <w:szCs w:val="33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3"/>
          <w:szCs w:val="33"/>
          <w:lang w:val="en-US" w:eastAsia="zh-CN" w:bidi="ar-SA"/>
        </w:rPr>
        <w:t>资产情况：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3"/>
          <w:szCs w:val="33"/>
          <w:lang w:val="en-US" w:eastAsia="zh-CN" w:bidi="ar-SA"/>
        </w:rPr>
        <w:t>截至202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3"/>
          <w:szCs w:val="33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3"/>
          <w:szCs w:val="33"/>
          <w:lang w:val="en-US" w:eastAsia="zh-CN" w:bidi="ar-SA"/>
        </w:rPr>
        <w:t>年12月31日，拉萨市林周县甘曲寺管委会共有车辆1辆；价值价值5.75万元。国有资产总值6.4万元，其中：流动资产0万元，非流动资产6.4万元。</w:t>
      </w:r>
    </w:p>
    <w:p w14:paraId="3D1DEA9E">
      <w:pPr>
        <w:spacing w:before="84" w:line="223" w:lineRule="auto"/>
        <w:ind w:left="83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5"/>
          <w:sz w:val="33"/>
          <w:szCs w:val="33"/>
        </w:rPr>
        <w:t>(二)当年部门履职总体目标。</w:t>
      </w:r>
    </w:p>
    <w:p w14:paraId="48F17C95">
      <w:pPr>
        <w:pStyle w:val="5"/>
        <w:spacing w:before="107" w:line="312" w:lineRule="auto"/>
        <w:ind w:right="102" w:firstLine="644" w:firstLineChars="200"/>
        <w:rPr>
          <w:sz w:val="33"/>
          <w:szCs w:val="33"/>
        </w:rPr>
      </w:pPr>
      <w:r>
        <w:rPr>
          <w:spacing w:val="-4"/>
          <w:sz w:val="33"/>
          <w:szCs w:val="33"/>
        </w:rPr>
        <w:t>强化财政资源统筹，主动服务保障大事要事；强化基本民</w:t>
      </w:r>
      <w:r>
        <w:rPr>
          <w:spacing w:val="1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生兜底，坚定不移增进民生福祉；强化风险防范化解，牢牢守</w:t>
      </w:r>
      <w:r>
        <w:rPr>
          <w:spacing w:val="7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住财政风险底线；强化改革创新攻坚，不断健全现代预</w:t>
      </w:r>
      <w:r>
        <w:rPr>
          <w:spacing w:val="-19"/>
          <w:sz w:val="33"/>
          <w:szCs w:val="33"/>
        </w:rPr>
        <w:t>算制度；</w:t>
      </w:r>
      <w:r>
        <w:rPr>
          <w:spacing w:val="-5"/>
          <w:sz w:val="33"/>
          <w:szCs w:val="33"/>
        </w:rPr>
        <w:t>强化过紧日子要求，切实增强财政可持续性</w:t>
      </w:r>
      <w:r>
        <w:rPr>
          <w:spacing w:val="-6"/>
          <w:sz w:val="33"/>
          <w:szCs w:val="33"/>
        </w:rPr>
        <w:t>；强化财经纪律约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束，全面提升财政治理效能；完成预算管理、国库管理、政策</w:t>
      </w:r>
      <w:r>
        <w:rPr>
          <w:spacing w:val="15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管理、会计管理、财政监督、国资管理等管理任务；</w:t>
      </w:r>
      <w:r>
        <w:rPr>
          <w:spacing w:val="-6"/>
          <w:sz w:val="33"/>
          <w:szCs w:val="33"/>
        </w:rPr>
        <w:t>落实党中</w:t>
      </w:r>
      <w:r>
        <w:rPr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央对西藏干部职工的关心关怀，提高驻寺干部工作的积极性，</w:t>
      </w:r>
      <w:r>
        <w:rPr>
          <w:spacing w:val="6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保障我区统战事业健康稳健发展；保证管委会良好的办公</w:t>
      </w:r>
      <w:r>
        <w:rPr>
          <w:spacing w:val="6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环境，营造积极向上的工作氛围，保障管委会关正常运转。</w:t>
      </w:r>
    </w:p>
    <w:p w14:paraId="28D0D90E">
      <w:pPr>
        <w:spacing w:before="106" w:line="223" w:lineRule="auto"/>
        <w:ind w:left="92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(三)部门预算绩效管理开展情况。</w:t>
      </w:r>
    </w:p>
    <w:p w14:paraId="12D1450B">
      <w:pPr>
        <w:pStyle w:val="5"/>
        <w:spacing w:before="178" w:line="317" w:lineRule="auto"/>
        <w:ind w:firstLine="719"/>
        <w:jc w:val="both"/>
        <w:rPr>
          <w:sz w:val="33"/>
          <w:szCs w:val="33"/>
        </w:rPr>
      </w:pPr>
      <w:r>
        <w:rPr>
          <w:spacing w:val="-5"/>
          <w:sz w:val="33"/>
          <w:szCs w:val="33"/>
        </w:rPr>
        <w:t>一是积极开展事前绩效管理。把好审核关，将绩效目标作</w:t>
      </w:r>
      <w:r>
        <w:rPr>
          <w:spacing w:val="2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为预算安排的前置条件，加强绩效目标管理。二是强化事中绩</w:t>
      </w:r>
      <w:r>
        <w:rPr>
          <w:sz w:val="33"/>
          <w:szCs w:val="33"/>
        </w:rPr>
        <w:t xml:space="preserve">  </w:t>
      </w:r>
      <w:r>
        <w:rPr>
          <w:spacing w:val="-5"/>
          <w:sz w:val="33"/>
          <w:szCs w:val="33"/>
        </w:rPr>
        <w:t>效监督。根据《林周县</w:t>
      </w:r>
      <w:r>
        <w:rPr>
          <w:rFonts w:hint="eastAsia"/>
          <w:spacing w:val="-5"/>
          <w:sz w:val="33"/>
          <w:szCs w:val="33"/>
          <w:lang w:val="en-US" w:eastAsia="zh-CN"/>
        </w:rPr>
        <w:t>甘曲</w:t>
      </w:r>
      <w:r>
        <w:rPr>
          <w:spacing w:val="-5"/>
          <w:sz w:val="33"/>
          <w:szCs w:val="33"/>
        </w:rPr>
        <w:t>寺管委会关于开展2023年度自治区本</w:t>
      </w:r>
      <w:r>
        <w:rPr>
          <w:spacing w:val="14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级部门预算绩效运行监控的通知》(藏财绩〔2023〕6</w:t>
      </w:r>
      <w:r>
        <w:rPr>
          <w:spacing w:val="-7"/>
          <w:sz w:val="33"/>
          <w:szCs w:val="33"/>
        </w:rPr>
        <w:t>号)要求，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通过预算管理一体化系统，对绩效目标实现程度和预算执行进</w:t>
      </w:r>
      <w:r>
        <w:rPr>
          <w:spacing w:val="13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度实行“双监控”。三是加强事后绩效评价。根据《西藏自治区</w:t>
      </w:r>
      <w:r>
        <w:rPr>
          <w:spacing w:val="13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财政厅关于开展2022年度自治区本级预算项目单位自评和部门</w:t>
      </w:r>
      <w:r>
        <w:rPr>
          <w:spacing w:val="7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评价的通知》(藏财绩〔2023)5号〕要求，运用一体</w:t>
      </w:r>
      <w:r>
        <w:rPr>
          <w:spacing w:val="-11"/>
          <w:sz w:val="33"/>
          <w:szCs w:val="33"/>
        </w:rPr>
        <w:t>化系统对年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度所有预算项目开展绩效自评，并将绩效自评结果与下年度预</w:t>
      </w:r>
      <w:r>
        <w:rPr>
          <w:spacing w:val="15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算申报挂钩。</w:t>
      </w:r>
    </w:p>
    <w:p w14:paraId="494884EC">
      <w:pPr>
        <w:spacing w:before="138" w:line="223" w:lineRule="auto"/>
        <w:ind w:left="82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6"/>
          <w:sz w:val="33"/>
          <w:szCs w:val="33"/>
        </w:rPr>
        <w:t>(四)当年部门预算及执行情况。</w:t>
      </w:r>
    </w:p>
    <w:p w14:paraId="508EA1D1">
      <w:pPr>
        <w:pStyle w:val="5"/>
        <w:spacing w:before="108" w:line="310" w:lineRule="auto"/>
        <w:ind w:right="55" w:firstLine="835" w:firstLineChars="250"/>
        <w:jc w:val="both"/>
        <w:rPr>
          <w:sz w:val="33"/>
          <w:szCs w:val="33"/>
        </w:rPr>
      </w:pPr>
      <w:r>
        <w:rPr>
          <w:spacing w:val="2"/>
          <w:sz w:val="33"/>
          <w:szCs w:val="33"/>
        </w:rPr>
        <w:t>2023年，林周县</w:t>
      </w:r>
      <w:r>
        <w:rPr>
          <w:rFonts w:hint="eastAsia"/>
          <w:spacing w:val="2"/>
          <w:sz w:val="33"/>
          <w:szCs w:val="33"/>
          <w:lang w:val="en-US" w:eastAsia="zh-CN"/>
        </w:rPr>
        <w:t>甘曲</w:t>
      </w:r>
      <w:r>
        <w:rPr>
          <w:spacing w:val="2"/>
          <w:sz w:val="33"/>
          <w:szCs w:val="33"/>
        </w:rPr>
        <w:t>寺管委会年初预算收入</w:t>
      </w:r>
      <w:r>
        <w:rPr>
          <w:rFonts w:hint="default" w:ascii="仿宋_GB2312" w:hAnsi="ˎ̥" w:eastAsia="仿宋_GB2312"/>
          <w:color w:val="auto"/>
          <w:sz w:val="32"/>
          <w:szCs w:val="32"/>
          <w:lang w:val="en-US"/>
        </w:rPr>
        <w:t>287.60</w:t>
      </w:r>
      <w:r>
        <w:rPr>
          <w:spacing w:val="2"/>
          <w:sz w:val="33"/>
          <w:szCs w:val="33"/>
        </w:rPr>
        <w:t>万元，调</w:t>
      </w:r>
      <w:r>
        <w:rPr>
          <w:spacing w:val="1"/>
          <w:sz w:val="33"/>
          <w:szCs w:val="33"/>
        </w:rPr>
        <w:t>整预算</w:t>
      </w:r>
      <w:r>
        <w:rPr>
          <w:spacing w:val="5"/>
          <w:sz w:val="33"/>
          <w:szCs w:val="33"/>
        </w:rPr>
        <w:t>数</w:t>
      </w:r>
      <w:r>
        <w:rPr>
          <w:rFonts w:hint="eastAsia"/>
          <w:spacing w:val="5"/>
          <w:sz w:val="33"/>
          <w:szCs w:val="33"/>
          <w:lang w:val="en-US" w:eastAsia="zh-CN"/>
        </w:rPr>
        <w:t>0</w:t>
      </w:r>
      <w:r>
        <w:rPr>
          <w:spacing w:val="5"/>
          <w:sz w:val="33"/>
          <w:szCs w:val="33"/>
        </w:rPr>
        <w:t>万元，预算支出</w:t>
      </w:r>
      <w:r>
        <w:rPr>
          <w:rFonts w:hint="default" w:ascii="仿宋_GB2312" w:hAnsi="ˎ̥" w:eastAsia="仿宋_GB2312"/>
          <w:color w:val="auto"/>
          <w:sz w:val="32"/>
          <w:szCs w:val="32"/>
          <w:lang w:val="en-US"/>
        </w:rPr>
        <w:t>287.60</w:t>
      </w:r>
      <w:r>
        <w:rPr>
          <w:spacing w:val="5"/>
          <w:sz w:val="33"/>
          <w:szCs w:val="33"/>
        </w:rPr>
        <w:t>万元。其中：</w:t>
      </w:r>
      <w:r>
        <w:rPr>
          <w:rFonts w:hint="eastAsia"/>
          <w:spacing w:val="5"/>
          <w:sz w:val="33"/>
          <w:szCs w:val="33"/>
          <w:lang w:val="en-US" w:eastAsia="zh-CN"/>
        </w:rPr>
        <w:t>项目</w:t>
      </w:r>
      <w:r>
        <w:rPr>
          <w:spacing w:val="5"/>
          <w:sz w:val="33"/>
          <w:szCs w:val="33"/>
        </w:rPr>
        <w:t>支</w:t>
      </w:r>
      <w:r>
        <w:rPr>
          <w:spacing w:val="3"/>
          <w:sz w:val="33"/>
          <w:szCs w:val="33"/>
        </w:rPr>
        <w:t>出年初预算收入</w:t>
      </w:r>
      <w:r>
        <w:rPr>
          <w:rFonts w:hint="eastAsia" w:ascii="仿宋_GB2312" w:hAnsi="ˎ̥" w:eastAsia="仿宋_GB2312"/>
          <w:color w:val="auto"/>
          <w:sz w:val="32"/>
          <w:szCs w:val="32"/>
          <w:lang w:val="en-US" w:eastAsia="zh-CN"/>
        </w:rPr>
        <w:t>1.9</w:t>
      </w:r>
      <w:r>
        <w:rPr>
          <w:spacing w:val="3"/>
          <w:sz w:val="33"/>
          <w:szCs w:val="33"/>
        </w:rPr>
        <w:t>万元，调整预算数</w:t>
      </w:r>
      <w:r>
        <w:rPr>
          <w:rFonts w:hint="eastAsia"/>
          <w:spacing w:val="3"/>
          <w:sz w:val="33"/>
          <w:szCs w:val="33"/>
          <w:lang w:val="en-US" w:eastAsia="zh-CN"/>
        </w:rPr>
        <w:t>0</w:t>
      </w:r>
      <w:r>
        <w:rPr>
          <w:spacing w:val="3"/>
          <w:sz w:val="33"/>
          <w:szCs w:val="33"/>
        </w:rPr>
        <w:t>万元</w:t>
      </w:r>
      <w:r>
        <w:rPr>
          <w:rFonts w:hint="eastAsia"/>
          <w:spacing w:val="3"/>
          <w:sz w:val="33"/>
          <w:szCs w:val="33"/>
          <w:lang w:eastAsia="zh-CN"/>
        </w:rPr>
        <w:t>，</w:t>
      </w:r>
      <w:r>
        <w:rPr>
          <w:rFonts w:hint="eastAsia"/>
          <w:spacing w:val="-1"/>
          <w:sz w:val="33"/>
          <w:szCs w:val="33"/>
          <w:lang w:val="en-US" w:eastAsia="zh-CN"/>
        </w:rPr>
        <w:t>项目</w:t>
      </w:r>
      <w:r>
        <w:rPr>
          <w:spacing w:val="-1"/>
          <w:sz w:val="33"/>
          <w:szCs w:val="33"/>
        </w:rPr>
        <w:t>预算支出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1.9</w:t>
      </w:r>
      <w:r>
        <w:rPr>
          <w:spacing w:val="-1"/>
          <w:sz w:val="33"/>
          <w:szCs w:val="33"/>
        </w:rPr>
        <w:t>万元，执行率100%</w:t>
      </w:r>
      <w:r>
        <w:rPr>
          <w:spacing w:val="6"/>
          <w:sz w:val="33"/>
          <w:szCs w:val="33"/>
        </w:rPr>
        <w:t>。</w:t>
      </w:r>
    </w:p>
    <w:p w14:paraId="4F2D4A79">
      <w:pPr>
        <w:spacing w:before="73" w:line="221" w:lineRule="auto"/>
        <w:ind w:left="81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二</w:t>
      </w:r>
      <w:r>
        <w:rPr>
          <w:rFonts w:ascii="黑体" w:hAnsi="黑体" w:eastAsia="黑体" w:cs="黑体"/>
          <w:spacing w:val="-7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、部门整体支出绩效实现情况</w:t>
      </w:r>
    </w:p>
    <w:p w14:paraId="08DB4EFF">
      <w:pPr>
        <w:pStyle w:val="5"/>
        <w:spacing w:before="184" w:line="319" w:lineRule="auto"/>
        <w:ind w:left="165" w:right="5" w:firstLine="650"/>
        <w:jc w:val="both"/>
        <w:rPr>
          <w:sz w:val="33"/>
          <w:szCs w:val="33"/>
        </w:rPr>
      </w:pPr>
      <w:r>
        <w:rPr>
          <w:spacing w:val="7"/>
          <w:sz w:val="33"/>
          <w:szCs w:val="33"/>
        </w:rPr>
        <w:t>2023年共实施</w:t>
      </w:r>
      <w:r>
        <w:rPr>
          <w:rFonts w:hint="eastAsia"/>
          <w:spacing w:val="7"/>
          <w:sz w:val="33"/>
          <w:szCs w:val="33"/>
          <w:lang w:val="en-US" w:eastAsia="zh-CN"/>
        </w:rPr>
        <w:t>1</w:t>
      </w:r>
      <w:r>
        <w:rPr>
          <w:spacing w:val="7"/>
          <w:sz w:val="33"/>
          <w:szCs w:val="33"/>
        </w:rPr>
        <w:t>个项目，经对</w:t>
      </w:r>
      <w:r>
        <w:rPr>
          <w:spacing w:val="-6"/>
          <w:sz w:val="33"/>
          <w:szCs w:val="33"/>
        </w:rPr>
        <w:t>照分析一般性公共预算执行进度、产出指标、效益指标和满意度指标</w:t>
      </w:r>
      <w:r>
        <w:rPr>
          <w:spacing w:val="1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的实现程度及趋势进行逐项打分，最终得分为</w:t>
      </w:r>
      <w:r>
        <w:rPr>
          <w:rFonts w:hint="eastAsia"/>
          <w:spacing w:val="-6"/>
          <w:sz w:val="33"/>
          <w:szCs w:val="33"/>
          <w:lang w:val="en-US" w:eastAsia="zh-CN"/>
        </w:rPr>
        <w:t>100</w:t>
      </w:r>
      <w:r>
        <w:rPr>
          <w:spacing w:val="-6"/>
          <w:sz w:val="33"/>
          <w:szCs w:val="33"/>
        </w:rPr>
        <w:t>分。从总体来看，我管委会整体预算支出基本完成既定目标，与年初设定的绩效</w:t>
      </w:r>
      <w:r>
        <w:rPr>
          <w:spacing w:val="1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目标无偏离。</w:t>
      </w:r>
    </w:p>
    <w:p w14:paraId="7AB97ED8">
      <w:pPr>
        <w:spacing w:before="48" w:line="221" w:lineRule="auto"/>
        <w:ind w:left="81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三、部门整体支出绩效中存在问题及改进措施</w:t>
      </w:r>
    </w:p>
    <w:p w14:paraId="335189FA">
      <w:pPr>
        <w:spacing w:before="175" w:line="226" w:lineRule="auto"/>
        <w:ind w:left="1009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4"/>
          <w:sz w:val="33"/>
          <w:szCs w:val="33"/>
        </w:rPr>
        <w:t>(一)主要问题及原因分析。</w:t>
      </w:r>
    </w:p>
    <w:p w14:paraId="6A59BB85">
      <w:pPr>
        <w:pStyle w:val="5"/>
        <w:spacing w:before="189" w:line="312" w:lineRule="auto"/>
        <w:ind w:left="165" w:right="2" w:firstLine="650"/>
        <w:jc w:val="both"/>
        <w:rPr>
          <w:sz w:val="33"/>
          <w:szCs w:val="33"/>
        </w:rPr>
      </w:pPr>
      <w:r>
        <w:rPr>
          <w:spacing w:val="-5"/>
          <w:sz w:val="33"/>
          <w:szCs w:val="33"/>
        </w:rPr>
        <w:t>一是个别支出因前期规划不足等因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素，全年预算执行进度不均衡。</w:t>
      </w:r>
    </w:p>
    <w:p w14:paraId="63FD0F89">
      <w:pPr>
        <w:spacing w:before="94" w:line="228" w:lineRule="auto"/>
        <w:ind w:left="979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4"/>
          <w:sz w:val="33"/>
          <w:szCs w:val="33"/>
        </w:rPr>
        <w:t>(二)改进的方向和具体措施。</w:t>
      </w:r>
    </w:p>
    <w:p w14:paraId="70BE7573">
      <w:pPr>
        <w:pStyle w:val="5"/>
        <w:spacing w:before="194" w:line="314" w:lineRule="auto"/>
        <w:ind w:right="18" w:firstLine="815"/>
        <w:jc w:val="both"/>
        <w:rPr>
          <w:sz w:val="33"/>
          <w:szCs w:val="33"/>
        </w:rPr>
      </w:pPr>
      <w:r>
        <w:rPr>
          <w:spacing w:val="-6"/>
          <w:sz w:val="33"/>
          <w:szCs w:val="33"/>
        </w:rPr>
        <w:t>一是加强政府采购项目预算编制工作，结合工作实际，在</w:t>
      </w:r>
      <w:r>
        <w:rPr>
          <w:spacing w:val="3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“零基预算”的基础上合理测算预算需求，提前谋划、超前部</w:t>
      </w:r>
      <w:r>
        <w:rPr>
          <w:sz w:val="33"/>
          <w:szCs w:val="33"/>
        </w:rPr>
        <w:t xml:space="preserve"> 署，并严格按照国家和自治区相关法律法规开展相关工作。二</w:t>
      </w:r>
    </w:p>
    <w:p w14:paraId="5AFC2CFD">
      <w:pPr>
        <w:pStyle w:val="5"/>
        <w:spacing w:before="107" w:line="302" w:lineRule="auto"/>
        <w:ind w:right="93"/>
        <w:jc w:val="both"/>
        <w:rPr>
          <w:sz w:val="33"/>
          <w:szCs w:val="33"/>
        </w:rPr>
      </w:pPr>
      <w:r>
        <w:rPr>
          <w:spacing w:val="-6"/>
          <w:sz w:val="33"/>
          <w:szCs w:val="33"/>
        </w:rPr>
        <w:t>是压实预算执行主体责任，深化绩效目标监控，对绩效目标偏</w:t>
      </w:r>
      <w:r>
        <w:rPr>
          <w:spacing w:val="12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离情形分析具体原因，及时采取有效措施予以纠正，合理合法</w:t>
      </w:r>
      <w:r>
        <w:rPr>
          <w:spacing w:val="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加快项目资金执行进度。</w:t>
      </w:r>
    </w:p>
    <w:p w14:paraId="5C948F0E">
      <w:pPr>
        <w:spacing w:before="92" w:line="221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四、绩效自评结果拟应用和公开情况</w:t>
      </w:r>
    </w:p>
    <w:p w14:paraId="6CCFD814">
      <w:pPr>
        <w:pStyle w:val="5"/>
        <w:spacing w:before="180" w:line="319" w:lineRule="auto"/>
        <w:ind w:firstLine="689"/>
        <w:jc w:val="both"/>
        <w:rPr>
          <w:sz w:val="33"/>
          <w:szCs w:val="33"/>
        </w:rPr>
        <w:sectPr>
          <w:footerReference r:id="rId5" w:type="default"/>
          <w:pgSz w:w="11940" w:h="16440"/>
          <w:pgMar w:top="1397" w:right="1791" w:bottom="1251" w:left="1204" w:header="0" w:footer="924" w:gutter="0"/>
          <w:cols w:space="720" w:num="1"/>
          <w:docGrid w:linePitch="312" w:charSpace="0"/>
        </w:sectPr>
      </w:pPr>
      <w:r>
        <w:rPr>
          <w:spacing w:val="-5"/>
          <w:sz w:val="33"/>
          <w:szCs w:val="33"/>
        </w:rPr>
        <w:t>一是落实绩效管理与预算安排挂钩，认真落实过紧日子要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求，持续压减培训费、办公费、差旅费等基本支出，全年调减</w:t>
      </w:r>
      <w:r>
        <w:rPr>
          <w:spacing w:val="7"/>
          <w:sz w:val="33"/>
          <w:szCs w:val="33"/>
        </w:rPr>
        <w:t xml:space="preserve"> </w:t>
      </w:r>
      <w:r>
        <w:rPr>
          <w:sz w:val="33"/>
          <w:szCs w:val="33"/>
        </w:rPr>
        <w:t>基本支出0万元。对年度预算执行和预算绩效较好的项目</w:t>
      </w:r>
      <w:r>
        <w:rPr>
          <w:spacing w:val="1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在预算安排上予以倾斜，对效能不理想的项目予以审减或取消，</w:t>
      </w:r>
      <w:r>
        <w:rPr>
          <w:spacing w:val="5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共审减经费0万元。二是按照预决算公开工作要求，管委会</w:t>
      </w:r>
      <w:r>
        <w:rPr>
          <w:spacing w:val="-6"/>
          <w:sz w:val="33"/>
          <w:szCs w:val="33"/>
        </w:rPr>
        <w:t>在本级财政部门批复后20日内，将部门绩效评价报告及部门</w:t>
      </w:r>
      <w:r>
        <w:rPr>
          <w:spacing w:val="-5"/>
          <w:sz w:val="33"/>
          <w:szCs w:val="33"/>
        </w:rPr>
        <w:t>整体支出绩效目标申报表及时在林周县人民政府门户网站上进</w:t>
      </w:r>
      <w:r>
        <w:rPr>
          <w:spacing w:val="-13"/>
          <w:sz w:val="33"/>
          <w:szCs w:val="33"/>
        </w:rPr>
        <w:t>行公开。</w:t>
      </w:r>
    </w:p>
    <w:p w14:paraId="7343200C">
      <w:pPr>
        <w:spacing w:line="336" w:lineRule="auto"/>
        <w:rPr>
          <w:rFonts w:ascii="Arial" w:hAnsi="Arial"/>
          <w:sz w:val="21"/>
        </w:rPr>
      </w:pPr>
    </w:p>
    <w:p w14:paraId="252290FB">
      <w:pPr>
        <w:spacing w:before="65" w:line="218" w:lineRule="auto"/>
        <w:ind w:left="6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2"/>
          <w:sz w:val="20"/>
          <w:szCs w:val="20"/>
        </w:rPr>
        <w:t>部门整体支出绩效自评表</w:t>
      </w:r>
    </w:p>
    <w:p w14:paraId="043D3CED">
      <w:pPr>
        <w:spacing w:line="72" w:lineRule="exact"/>
      </w:pPr>
    </w:p>
    <w:tbl>
      <w:tblPr>
        <w:tblStyle w:val="9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69"/>
        <w:gridCol w:w="1604"/>
        <w:gridCol w:w="915"/>
        <w:gridCol w:w="899"/>
        <w:gridCol w:w="1479"/>
        <w:gridCol w:w="890"/>
        <w:gridCol w:w="840"/>
        <w:gridCol w:w="1009"/>
        <w:gridCol w:w="999"/>
        <w:gridCol w:w="999"/>
        <w:gridCol w:w="1009"/>
        <w:gridCol w:w="979"/>
        <w:gridCol w:w="1014"/>
      </w:tblGrid>
      <w:tr w14:paraId="7B3E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4310" w:type="dxa"/>
            <w:gridSpan w:val="14"/>
          </w:tcPr>
          <w:p w14:paraId="73C76976">
            <w:pPr>
              <w:pStyle w:val="15"/>
              <w:spacing w:before="10" w:line="163" w:lineRule="auto"/>
              <w:ind w:left="6744"/>
            </w:pPr>
            <w:r>
              <w:rPr>
                <w:spacing w:val="-1"/>
              </w:rPr>
              <w:t>预算年度：2023</w:t>
            </w:r>
          </w:p>
        </w:tc>
      </w:tr>
      <w:tr w14:paraId="0C31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4310" w:type="dxa"/>
            <w:gridSpan w:val="14"/>
          </w:tcPr>
          <w:p w14:paraId="46606D5D">
            <w:pPr>
              <w:pStyle w:val="15"/>
              <w:spacing w:before="15" w:line="190" w:lineRule="auto"/>
              <w:ind w:left="15"/>
            </w:pPr>
            <w:r>
              <w:rPr>
                <w:spacing w:val="-1"/>
              </w:rPr>
              <w:t>预算(单位)名称：林周县</w:t>
            </w:r>
            <w:r>
              <w:rPr>
                <w:rFonts w:hint="eastAsia"/>
                <w:spacing w:val="-1"/>
                <w:lang w:val="en-US" w:eastAsia="zh-CN"/>
              </w:rPr>
              <w:t>甘曲</w:t>
            </w:r>
            <w:r>
              <w:rPr>
                <w:spacing w:val="-1"/>
              </w:rPr>
              <w:t>寺管委会</w:t>
            </w:r>
          </w:p>
        </w:tc>
      </w:tr>
      <w:tr w14:paraId="5B7C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74" w:type="dxa"/>
            <w:gridSpan w:val="2"/>
            <w:vMerge w:val="restart"/>
            <w:tcBorders>
              <w:bottom w:val="nil"/>
            </w:tcBorders>
          </w:tcPr>
          <w:p w14:paraId="7DC7EA9A">
            <w:pPr>
              <w:spacing w:line="329" w:lineRule="auto"/>
              <w:rPr>
                <w:rFonts w:ascii="Arial" w:hAnsi="Arial"/>
                <w:sz w:val="21"/>
              </w:rPr>
            </w:pPr>
          </w:p>
          <w:p w14:paraId="36A14B28">
            <w:pPr>
              <w:pStyle w:val="15"/>
              <w:spacing w:before="46" w:line="221" w:lineRule="auto"/>
              <w:ind w:left="185"/>
            </w:pPr>
            <w:r>
              <w:rPr>
                <w:spacing w:val="3"/>
              </w:rPr>
              <w:t>总体资金情况(万元)</w:t>
            </w:r>
          </w:p>
        </w:tc>
        <w:tc>
          <w:tcPr>
            <w:tcW w:w="1604" w:type="dxa"/>
            <w:vMerge w:val="restart"/>
            <w:tcBorders>
              <w:bottom w:val="nil"/>
            </w:tcBorders>
          </w:tcPr>
          <w:p w14:paraId="27FCF42F">
            <w:pPr>
              <w:pStyle w:val="15"/>
              <w:spacing w:before="183" w:line="218" w:lineRule="auto"/>
              <w:ind w:left="392"/>
            </w:pPr>
            <w:r>
              <w:rPr>
                <w:b/>
                <w:bCs/>
                <w:spacing w:val="-3"/>
              </w:rPr>
              <w:t>预算支出总额</w:t>
            </w:r>
          </w:p>
        </w:tc>
        <w:tc>
          <w:tcPr>
            <w:tcW w:w="5023" w:type="dxa"/>
            <w:gridSpan w:val="5"/>
            <w:tcBorders>
              <w:left w:val="single" w:color="000000" w:sz="4" w:space="0"/>
            </w:tcBorders>
          </w:tcPr>
          <w:p w14:paraId="3C03E8B8">
            <w:pPr>
              <w:pStyle w:val="15"/>
              <w:spacing w:before="54" w:line="218" w:lineRule="auto"/>
              <w:ind w:left="2252"/>
            </w:pPr>
            <w:r>
              <w:rPr>
                <w:spacing w:val="4"/>
              </w:rPr>
              <w:t>基本支出</w:t>
            </w:r>
          </w:p>
        </w:tc>
        <w:tc>
          <w:tcPr>
            <w:tcW w:w="6009" w:type="dxa"/>
            <w:gridSpan w:val="6"/>
            <w:tcBorders>
              <w:left w:val="single" w:color="000000" w:sz="4" w:space="0"/>
            </w:tcBorders>
          </w:tcPr>
          <w:p w14:paraId="13B7F6ED">
            <w:pPr>
              <w:pStyle w:val="15"/>
              <w:spacing w:before="54" w:line="221" w:lineRule="auto"/>
              <w:ind w:left="2716"/>
            </w:pPr>
            <w:r>
              <w:rPr>
                <w:b/>
                <w:bCs/>
                <w:spacing w:val="1"/>
              </w:rPr>
              <w:t>项目支出</w:t>
            </w:r>
          </w:p>
        </w:tc>
      </w:tr>
      <w:tr w14:paraId="52D91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74" w:type="dxa"/>
            <w:gridSpan w:val="2"/>
            <w:vMerge w:val="continue"/>
            <w:tcBorders>
              <w:top w:val="nil"/>
              <w:bottom w:val="nil"/>
            </w:tcBorders>
          </w:tcPr>
          <w:p w14:paraId="1B3FA3DB"/>
        </w:tc>
        <w:tc>
          <w:tcPr>
            <w:tcW w:w="1604" w:type="dxa"/>
            <w:vMerge w:val="continue"/>
            <w:tcBorders>
              <w:top w:val="nil"/>
            </w:tcBorders>
          </w:tcPr>
          <w:p w14:paraId="3323B714"/>
        </w:tc>
        <w:tc>
          <w:tcPr>
            <w:tcW w:w="915" w:type="dxa"/>
            <w:tcBorders>
              <w:left w:val="single" w:color="000000" w:sz="4" w:space="0"/>
            </w:tcBorders>
          </w:tcPr>
          <w:p w14:paraId="27EF6007">
            <w:pPr>
              <w:pStyle w:val="15"/>
              <w:spacing w:before="56" w:line="221" w:lineRule="auto"/>
              <w:ind w:left="332"/>
            </w:pPr>
            <w:r>
              <w:rPr>
                <w:spacing w:val="-2"/>
              </w:rPr>
              <w:t>合计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307942B8">
            <w:pPr>
              <w:pStyle w:val="15"/>
              <w:spacing w:before="55" w:line="218" w:lineRule="auto"/>
              <w:ind w:left="172"/>
            </w:pPr>
            <w:r>
              <w:rPr>
                <w:spacing w:val="-2"/>
              </w:rPr>
              <w:t>财政拨款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3DD2FEEF">
            <w:pPr>
              <w:pStyle w:val="15"/>
              <w:spacing w:before="56" w:line="221" w:lineRule="auto"/>
              <w:ind w:left="483"/>
            </w:pPr>
            <w:r>
              <w:rPr>
                <w:spacing w:val="-2"/>
              </w:rPr>
              <w:t>专户资金</w:t>
            </w: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</w:tcPr>
          <w:p w14:paraId="7B5662C0">
            <w:pPr>
              <w:pStyle w:val="15"/>
              <w:spacing w:before="56" w:line="221" w:lineRule="auto"/>
              <w:ind w:left="583"/>
            </w:pPr>
            <w:r>
              <w:rPr>
                <w:spacing w:val="-2"/>
              </w:rPr>
              <w:t>单位资金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2BFA3B64">
            <w:pPr>
              <w:pStyle w:val="15"/>
              <w:spacing w:before="56" w:line="221" w:lineRule="auto"/>
              <w:ind w:left="333"/>
            </w:pPr>
            <w:r>
              <w:rPr>
                <w:spacing w:val="-2"/>
              </w:rPr>
              <w:t>合计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</w:tcBorders>
          </w:tcPr>
          <w:p w14:paraId="37D5B8FA">
            <w:pPr>
              <w:pStyle w:val="15"/>
              <w:spacing w:before="55" w:line="218" w:lineRule="auto"/>
              <w:ind w:left="715"/>
            </w:pPr>
            <w:r>
              <w:rPr>
                <w:spacing w:val="-2"/>
              </w:rPr>
              <w:t>财政拨款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</w:tcBorders>
          </w:tcPr>
          <w:p w14:paraId="2158C410">
            <w:pPr>
              <w:pStyle w:val="15"/>
              <w:spacing w:before="56" w:line="221" w:lineRule="auto"/>
              <w:ind w:left="757"/>
            </w:pPr>
            <w:r>
              <w:rPr>
                <w:spacing w:val="-2"/>
              </w:rPr>
              <w:t>专户资金</w:t>
            </w:r>
          </w:p>
        </w:tc>
        <w:tc>
          <w:tcPr>
            <w:tcW w:w="1014" w:type="dxa"/>
            <w:tcBorders>
              <w:left w:val="single" w:color="000000" w:sz="4" w:space="0"/>
            </w:tcBorders>
          </w:tcPr>
          <w:p w14:paraId="1370367E">
            <w:pPr>
              <w:pStyle w:val="15"/>
              <w:spacing w:before="56" w:line="221" w:lineRule="auto"/>
              <w:ind w:left="269"/>
            </w:pPr>
            <w:r>
              <w:rPr>
                <w:spacing w:val="-2"/>
              </w:rPr>
              <w:t>单位资金</w:t>
            </w:r>
          </w:p>
        </w:tc>
      </w:tr>
      <w:tr w14:paraId="7459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74" w:type="dxa"/>
            <w:gridSpan w:val="2"/>
            <w:vMerge w:val="continue"/>
            <w:tcBorders>
              <w:top w:val="nil"/>
            </w:tcBorders>
          </w:tcPr>
          <w:p w14:paraId="62A080BB"/>
        </w:tc>
        <w:tc>
          <w:tcPr>
            <w:tcW w:w="1604" w:type="dxa"/>
            <w:tcBorders>
              <w:left w:val="single" w:color="000000" w:sz="4" w:space="0"/>
            </w:tcBorders>
          </w:tcPr>
          <w:p w14:paraId="2D59B721">
            <w:pPr>
              <w:jc w:val="right"/>
              <w:rPr>
                <w:rFonts w:hint="eastAsia" w:ascii="仿宋_GB2312" w:eastAsia="仿宋_GB2312" w:cs="仿宋_GB2312"/>
                <w:sz w:val="10"/>
                <w:szCs w:val="10"/>
              </w:rPr>
            </w:pPr>
            <w:r>
              <w:rPr>
                <w:rFonts w:hint="default" w:ascii="仿宋_GB2312" w:eastAsia="仿宋_GB2312" w:cs="仿宋_GB2312"/>
                <w:sz w:val="10"/>
                <w:szCs w:val="10"/>
                <w:lang w:val="en-US"/>
              </w:rPr>
              <w:t>287.60</w:t>
            </w:r>
          </w:p>
        </w:tc>
        <w:tc>
          <w:tcPr>
            <w:tcW w:w="915" w:type="dxa"/>
            <w:tcBorders>
              <w:left w:val="single" w:color="000000" w:sz="4" w:space="0"/>
            </w:tcBorders>
          </w:tcPr>
          <w:p w14:paraId="662B586D">
            <w:pPr>
              <w:jc w:val="right"/>
              <w:rPr>
                <w:rFonts w:hint="default" w:ascii="仿宋_GB2312" w:eastAsia="仿宋_GB2312" w:cs="仿宋_GB2312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0"/>
                <w:szCs w:val="10"/>
                <w:lang w:val="en-US" w:eastAsia="zh-CN"/>
              </w:rPr>
              <w:t>287.60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0E05186D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0"/>
                <w:szCs w:val="10"/>
                <w:lang w:val="en-US" w:eastAsia="zh-CN"/>
              </w:rPr>
              <w:t>287.60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11BB12AB">
            <w:pPr>
              <w:rPr>
                <w:rFonts w:ascii="Arial" w:hAnsi="Arial"/>
                <w:sz w:val="21"/>
              </w:rPr>
            </w:pPr>
          </w:p>
        </w:tc>
        <w:tc>
          <w:tcPr>
            <w:tcW w:w="1730" w:type="dxa"/>
            <w:gridSpan w:val="2"/>
            <w:tcBorders>
              <w:left w:val="single" w:color="000000" w:sz="4" w:space="0"/>
            </w:tcBorders>
          </w:tcPr>
          <w:p w14:paraId="474581CA">
            <w:pPr>
              <w:rPr>
                <w:rFonts w:ascii="Arial" w:hAnsi="Arial"/>
                <w:sz w:val="21"/>
              </w:rPr>
            </w:pP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1ACF6AEE">
            <w:pPr>
              <w:jc w:val="right"/>
              <w:rPr>
                <w:rFonts w:hint="default" w:ascii="仿宋_GB2312" w:eastAsia="仿宋_GB2312" w:cs="仿宋_GB2312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0"/>
                <w:szCs w:val="10"/>
                <w:lang w:val="en-US" w:eastAsia="zh-CN"/>
              </w:rPr>
              <w:t>1.9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</w:tcBorders>
          </w:tcPr>
          <w:p w14:paraId="4B15A16C">
            <w:pPr>
              <w:jc w:val="right"/>
              <w:rPr>
                <w:rFonts w:hint="default" w:ascii="仿宋_GB2312" w:eastAsia="仿宋_GB2312" w:cs="仿宋_GB2312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0"/>
                <w:szCs w:val="10"/>
                <w:lang w:val="en-US" w:eastAsia="zh-CN"/>
              </w:rPr>
              <w:t>1.9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</w:tcBorders>
          </w:tcPr>
          <w:p w14:paraId="216E019E">
            <w:pPr>
              <w:rPr>
                <w:rFonts w:ascii="Arial" w:hAnsi="Arial"/>
                <w:sz w:val="21"/>
              </w:rPr>
            </w:pPr>
          </w:p>
        </w:tc>
        <w:tc>
          <w:tcPr>
            <w:tcW w:w="1014" w:type="dxa"/>
            <w:tcBorders>
              <w:left w:val="single" w:color="000000" w:sz="4" w:space="0"/>
            </w:tcBorders>
          </w:tcPr>
          <w:p w14:paraId="2A9E7995">
            <w:pPr>
              <w:rPr>
                <w:rFonts w:ascii="Arial" w:hAnsi="Arial"/>
                <w:sz w:val="21"/>
              </w:rPr>
            </w:pPr>
          </w:p>
        </w:tc>
      </w:tr>
      <w:tr w14:paraId="59DB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5" w:type="dxa"/>
            <w:vMerge w:val="restart"/>
            <w:tcBorders>
              <w:bottom w:val="nil"/>
            </w:tcBorders>
          </w:tcPr>
          <w:p w14:paraId="462271F5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2B710EB2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11474CFF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7788057C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79B4736C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2679B75A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3ED98E1E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135F4B3D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1758008A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657B347A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6038195B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712FFE46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7A3EE29B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39370FDC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2F03421F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2675E70A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0BFC962A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28AA4618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51C3ED59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3049E0FE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0C542CC1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291D5112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10CE034F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302A8957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1BEB509C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463FD4B9">
            <w:pPr>
              <w:spacing w:line="242" w:lineRule="auto"/>
              <w:rPr>
                <w:rFonts w:ascii="Arial" w:hAnsi="Arial"/>
                <w:sz w:val="21"/>
              </w:rPr>
            </w:pPr>
          </w:p>
          <w:p w14:paraId="319206AE">
            <w:pPr>
              <w:pStyle w:val="15"/>
              <w:spacing w:before="46" w:line="182" w:lineRule="auto"/>
              <w:ind w:left="175"/>
            </w:pPr>
            <w:r>
              <w:t>部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14:paraId="7A274FB8">
            <w:pPr>
              <w:spacing w:line="295" w:lineRule="auto"/>
              <w:rPr>
                <w:rFonts w:ascii="Arial" w:hAnsi="Arial"/>
                <w:sz w:val="21"/>
              </w:rPr>
            </w:pPr>
          </w:p>
          <w:p w14:paraId="64C9D062">
            <w:pPr>
              <w:spacing w:line="295" w:lineRule="auto"/>
              <w:rPr>
                <w:rFonts w:ascii="Arial" w:hAnsi="Arial"/>
                <w:sz w:val="21"/>
              </w:rPr>
            </w:pPr>
          </w:p>
          <w:p w14:paraId="35CA8AFF">
            <w:pPr>
              <w:pStyle w:val="15"/>
              <w:spacing w:before="45" w:line="221" w:lineRule="auto"/>
              <w:ind w:left="150"/>
            </w:pPr>
            <w:r>
              <w:rPr>
                <w:spacing w:val="-1"/>
              </w:rPr>
              <w:t>整体绩效目标</w:t>
            </w:r>
          </w:p>
        </w:tc>
        <w:tc>
          <w:tcPr>
            <w:tcW w:w="6627" w:type="dxa"/>
            <w:gridSpan w:val="6"/>
            <w:tcBorders>
              <w:left w:val="single" w:color="000000" w:sz="4" w:space="0"/>
            </w:tcBorders>
          </w:tcPr>
          <w:p w14:paraId="15BD5491">
            <w:pPr>
              <w:pStyle w:val="15"/>
              <w:spacing w:before="95" w:line="221" w:lineRule="auto"/>
              <w:ind w:left="3033"/>
            </w:pPr>
            <w:r>
              <w:rPr>
                <w:b/>
                <w:bCs/>
                <w:spacing w:val="-3"/>
              </w:rPr>
              <w:t>预期目标</w:t>
            </w:r>
          </w:p>
        </w:tc>
        <w:tc>
          <w:tcPr>
            <w:tcW w:w="6009" w:type="dxa"/>
            <w:gridSpan w:val="6"/>
            <w:tcBorders>
              <w:left w:val="single" w:color="000000" w:sz="4" w:space="0"/>
            </w:tcBorders>
          </w:tcPr>
          <w:p w14:paraId="17A43C99">
            <w:pPr>
              <w:pStyle w:val="15"/>
              <w:spacing w:before="94" w:line="218" w:lineRule="auto"/>
              <w:ind w:left="2576"/>
            </w:pPr>
            <w:r>
              <w:rPr>
                <w:b/>
                <w:bCs/>
                <w:spacing w:val="-3"/>
              </w:rPr>
              <w:t>实际完成情况</w:t>
            </w:r>
          </w:p>
        </w:tc>
      </w:tr>
      <w:tr w14:paraId="5841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62821C25"/>
        </w:tc>
        <w:tc>
          <w:tcPr>
            <w:tcW w:w="1069" w:type="dxa"/>
            <w:vMerge w:val="continue"/>
            <w:tcBorders>
              <w:top w:val="nil"/>
            </w:tcBorders>
          </w:tcPr>
          <w:p w14:paraId="4D3D9548"/>
        </w:tc>
        <w:tc>
          <w:tcPr>
            <w:tcW w:w="6627" w:type="dxa"/>
            <w:gridSpan w:val="6"/>
            <w:tcBorders>
              <w:left w:val="single" w:color="000000" w:sz="4" w:space="0"/>
            </w:tcBorders>
            <w:shd w:val="clear" w:color="auto" w:fill="828485"/>
          </w:tcPr>
          <w:p w14:paraId="723B4B4A">
            <w:pPr>
              <w:rPr>
                <w:spacing w:val="-10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强化财政资源统筹，主动服务保障大事要事；强化基本民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-6"/>
                <w:sz w:val="10"/>
                <w:szCs w:val="10"/>
              </w:rPr>
              <w:t>生兜底，坚定不移增进民生福祉；强化风险防范化解，牢牢守</w:t>
            </w:r>
            <w:r>
              <w:rPr>
                <w:spacing w:val="7"/>
                <w:sz w:val="10"/>
                <w:szCs w:val="10"/>
              </w:rPr>
              <w:t xml:space="preserve"> </w:t>
            </w:r>
            <w:r>
              <w:rPr>
                <w:spacing w:val="-18"/>
                <w:sz w:val="10"/>
                <w:szCs w:val="10"/>
              </w:rPr>
              <w:t>住财政风险底线；强化改革创新攻坚，不断健全现代预</w:t>
            </w:r>
            <w:r>
              <w:rPr>
                <w:spacing w:val="-19"/>
                <w:sz w:val="10"/>
                <w:szCs w:val="10"/>
              </w:rPr>
              <w:t>算制度；</w:t>
            </w:r>
            <w:r>
              <w:rPr>
                <w:spacing w:val="-5"/>
                <w:sz w:val="10"/>
                <w:szCs w:val="10"/>
              </w:rPr>
              <w:t>强化过紧日子要求，切实增强财政可持续性</w:t>
            </w:r>
            <w:r>
              <w:rPr>
                <w:spacing w:val="-6"/>
                <w:sz w:val="10"/>
                <w:szCs w:val="10"/>
              </w:rPr>
              <w:t>；强化财经纪律约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6"/>
                <w:sz w:val="10"/>
                <w:szCs w:val="10"/>
              </w:rPr>
              <w:t>束，全面提升财政治理效能；完成预算管理、国库管理、政策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管理、会计管理、财政监督、国资管理等管理任务；</w:t>
            </w:r>
            <w:r>
              <w:rPr>
                <w:spacing w:val="-6"/>
                <w:sz w:val="10"/>
                <w:szCs w:val="10"/>
              </w:rPr>
              <w:t>落实党中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央对西藏干部职工的关心关怀，提高驻寺干部工作的积极性，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保障我区统战事业健康稳健发展；保证管委会良好的办公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环境，营造积极向上的工作氛围，保障管委会关正常运转。</w:t>
            </w:r>
          </w:p>
        </w:tc>
        <w:tc>
          <w:tcPr>
            <w:tcW w:w="6009" w:type="dxa"/>
            <w:gridSpan w:val="6"/>
            <w:tcBorders>
              <w:left w:val="single" w:color="000000" w:sz="4" w:space="0"/>
            </w:tcBorders>
          </w:tcPr>
          <w:p w14:paraId="4302429D">
            <w:pPr>
              <w:pStyle w:val="15"/>
              <w:spacing w:before="47" w:line="218" w:lineRule="auto"/>
              <w:ind w:left="24"/>
            </w:pPr>
            <w:r>
              <w:t>已完成年初既定目标。</w:t>
            </w:r>
          </w:p>
        </w:tc>
      </w:tr>
      <w:tr w14:paraId="669E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498CB8A0"/>
        </w:tc>
        <w:tc>
          <w:tcPr>
            <w:tcW w:w="13705" w:type="dxa"/>
            <w:gridSpan w:val="13"/>
            <w:tcBorders>
              <w:left w:val="single" w:color="000000" w:sz="4" w:space="0"/>
            </w:tcBorders>
          </w:tcPr>
          <w:p w14:paraId="2AD5A389">
            <w:pPr>
              <w:pStyle w:val="15"/>
              <w:spacing w:before="136" w:line="218" w:lineRule="auto"/>
              <w:ind w:left="6432"/>
            </w:pPr>
            <w:r>
              <w:rPr>
                <w:b/>
                <w:bCs/>
                <w:spacing w:val="-3"/>
              </w:rPr>
              <w:t>年度绩效指标</w:t>
            </w:r>
          </w:p>
        </w:tc>
      </w:tr>
      <w:tr w14:paraId="548B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3B1F41C4"/>
        </w:tc>
        <w:tc>
          <w:tcPr>
            <w:tcW w:w="1069" w:type="dxa"/>
            <w:tcBorders>
              <w:left w:val="single" w:color="000000" w:sz="4" w:space="0"/>
            </w:tcBorders>
          </w:tcPr>
          <w:p w14:paraId="649192B2">
            <w:pPr>
              <w:pStyle w:val="15"/>
              <w:spacing w:before="50" w:line="221" w:lineRule="auto"/>
              <w:ind w:left="390"/>
            </w:pPr>
            <w:r>
              <w:rPr>
                <w:spacing w:val="-2"/>
              </w:rPr>
              <w:t>活动</w:t>
            </w:r>
          </w:p>
        </w:tc>
        <w:tc>
          <w:tcPr>
            <w:tcW w:w="1604" w:type="dxa"/>
            <w:tcBorders>
              <w:left w:val="single" w:color="000000" w:sz="4" w:space="0"/>
            </w:tcBorders>
          </w:tcPr>
          <w:p w14:paraId="25CD0BC4">
            <w:pPr>
              <w:pStyle w:val="15"/>
              <w:spacing w:before="47" w:line="218" w:lineRule="auto"/>
              <w:ind w:left="693"/>
            </w:pPr>
            <w:r>
              <w:rPr>
                <w:b/>
                <w:bCs/>
                <w:spacing w:val="-3"/>
              </w:rPr>
              <w:t>任务</w:t>
            </w:r>
          </w:p>
        </w:tc>
        <w:tc>
          <w:tcPr>
            <w:tcW w:w="915" w:type="dxa"/>
            <w:tcBorders>
              <w:left w:val="single" w:color="000000" w:sz="4" w:space="0"/>
            </w:tcBorders>
          </w:tcPr>
          <w:p w14:paraId="5058E72E">
            <w:pPr>
              <w:pStyle w:val="15"/>
              <w:spacing w:before="48" w:line="221" w:lineRule="auto"/>
              <w:ind w:left="204"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2C731F61">
            <w:pPr>
              <w:pStyle w:val="15"/>
              <w:spacing w:before="48" w:line="221" w:lineRule="auto"/>
              <w:ind w:left="174"/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5BC760C9">
            <w:pPr>
              <w:pStyle w:val="15"/>
              <w:spacing w:before="48" w:line="221" w:lineRule="auto"/>
              <w:ind w:left="515"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756FD9AC">
            <w:pPr>
              <w:pStyle w:val="15"/>
              <w:spacing w:before="48" w:line="221" w:lineRule="auto"/>
              <w:ind w:left="36"/>
            </w:pPr>
            <w:r>
              <w:rPr>
                <w:b/>
                <w:bCs/>
                <w:spacing w:val="-3"/>
              </w:rPr>
              <w:t>绩效指标性质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51F49ADD">
            <w:pPr>
              <w:pStyle w:val="15"/>
              <w:spacing w:before="47" w:line="218" w:lineRule="auto"/>
              <w:ind w:left="56"/>
            </w:pPr>
            <w:r>
              <w:rPr>
                <w:b/>
                <w:bCs/>
                <w:spacing w:val="-3"/>
              </w:rPr>
              <w:t>绩效指标值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5B2AB5DF">
            <w:pPr>
              <w:pStyle w:val="15"/>
              <w:spacing w:before="48" w:line="221" w:lineRule="auto"/>
              <w:ind w:left="126"/>
            </w:pPr>
            <w:r>
              <w:rPr>
                <w:b/>
                <w:bCs/>
                <w:spacing w:val="-3"/>
              </w:rPr>
              <w:t>绩效度量单位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0B267991">
            <w:pPr>
              <w:pStyle w:val="15"/>
              <w:spacing w:before="29" w:line="194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pacing w:val="-17"/>
                <w:sz w:val="19"/>
                <w:szCs w:val="19"/>
              </w:rPr>
              <w:t>权重(分值)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47575DEE">
            <w:pPr>
              <w:pStyle w:val="15"/>
              <w:spacing w:before="47" w:line="218" w:lineRule="auto"/>
              <w:ind w:left="228"/>
            </w:pPr>
            <w:r>
              <w:rPr>
                <w:b/>
                <w:bCs/>
                <w:spacing w:val="-3"/>
              </w:rPr>
              <w:t>完成情况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3B476C65">
            <w:pPr>
              <w:pStyle w:val="15"/>
              <w:spacing w:before="47" w:line="218" w:lineRule="auto"/>
              <w:ind w:left="378"/>
            </w:pPr>
            <w:r>
              <w:rPr>
                <w:b/>
                <w:bCs/>
                <w:spacing w:val="-3"/>
              </w:rPr>
              <w:t>得分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7FB6CF4D">
            <w:pPr>
              <w:pStyle w:val="15"/>
              <w:spacing w:before="49" w:line="218" w:lineRule="auto"/>
              <w:ind w:left="528"/>
            </w:pPr>
            <w:r>
              <w:rPr>
                <w:spacing w:val="-1"/>
              </w:rPr>
              <w:t>未完成原因分析</w:t>
            </w:r>
          </w:p>
        </w:tc>
      </w:tr>
      <w:tr w14:paraId="0B2FA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653CB2FC"/>
        </w:tc>
        <w:tc>
          <w:tcPr>
            <w:tcW w:w="1069" w:type="dxa"/>
            <w:vMerge w:val="restart"/>
            <w:tcBorders>
              <w:bottom w:val="nil"/>
            </w:tcBorders>
          </w:tcPr>
          <w:p w14:paraId="4CE8F4BC">
            <w:pPr>
              <w:spacing w:line="300" w:lineRule="auto"/>
              <w:rPr>
                <w:rFonts w:ascii="Arial" w:hAnsi="Arial"/>
                <w:sz w:val="21"/>
              </w:rPr>
            </w:pPr>
          </w:p>
          <w:p w14:paraId="5678267A">
            <w:pPr>
              <w:pStyle w:val="15"/>
              <w:spacing w:before="46" w:line="209" w:lineRule="auto"/>
              <w:ind w:left="10"/>
            </w:pPr>
            <w:r>
              <w:rPr>
                <w:spacing w:val="-1"/>
              </w:rPr>
              <w:t>10-其他事务/16-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代理银行手续费</w:t>
            </w:r>
          </w:p>
        </w:tc>
        <w:tc>
          <w:tcPr>
            <w:tcW w:w="1604" w:type="dxa"/>
            <w:vMerge w:val="restart"/>
            <w:tcBorders>
              <w:bottom w:val="nil"/>
            </w:tcBorders>
          </w:tcPr>
          <w:p w14:paraId="09A327DC">
            <w:pPr>
              <w:spacing w:line="391" w:lineRule="auto"/>
              <w:rPr>
                <w:rFonts w:ascii="Arial" w:hAnsi="Arial"/>
                <w:sz w:val="21"/>
              </w:rPr>
            </w:pPr>
          </w:p>
          <w:p w14:paraId="4A6FC61B">
            <w:pPr>
              <w:pStyle w:val="15"/>
              <w:spacing w:before="46" w:line="218" w:lineRule="auto"/>
              <w:jc w:val="right"/>
            </w:pPr>
            <w:r>
              <w:rPr>
                <w:spacing w:val="-8"/>
              </w:rPr>
              <w:t>准确、及时完成代理业务。</w:t>
            </w:r>
          </w:p>
        </w:tc>
        <w:tc>
          <w:tcPr>
            <w:tcW w:w="915" w:type="dxa"/>
            <w:vMerge w:val="restart"/>
            <w:tcBorders>
              <w:bottom w:val="nil"/>
            </w:tcBorders>
          </w:tcPr>
          <w:p w14:paraId="342792D1">
            <w:pPr>
              <w:spacing w:line="391" w:lineRule="auto"/>
              <w:rPr>
                <w:rFonts w:ascii="Arial" w:hAnsi="Arial"/>
                <w:sz w:val="21"/>
              </w:rPr>
            </w:pPr>
          </w:p>
          <w:p w14:paraId="60170AF3">
            <w:pPr>
              <w:pStyle w:val="15"/>
              <w:spacing w:before="46" w:line="218" w:lineRule="auto"/>
              <w:ind w:left="41"/>
            </w:pPr>
            <w:r>
              <w:rPr>
                <w:spacing w:val="-2"/>
              </w:rPr>
              <w:t>产出指标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019B4057">
            <w:pPr>
              <w:pStyle w:val="15"/>
              <w:spacing w:before="180" w:line="221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  <w:shd w:val="clear" w:color="auto" w:fill="626465"/>
          </w:tcPr>
          <w:p w14:paraId="2BD59CB5">
            <w:pPr>
              <w:pStyle w:val="15"/>
              <w:spacing w:before="119" w:line="216" w:lineRule="auto"/>
              <w:ind w:left="32" w:hanging="19"/>
            </w:pPr>
            <w:r>
              <w:rPr>
                <w:color w:val="FFFFFF"/>
                <w:spacing w:val="-8"/>
              </w:rPr>
              <w:t>反馈信息的及时性、信息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4"/>
              </w:rPr>
              <w:t>要素的完整性和准确性</w:t>
            </w:r>
            <w:r>
              <w:rPr>
                <w:spacing w:val="-14"/>
              </w:rPr>
              <w:t>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7F12864B">
            <w:pPr>
              <w:pStyle w:val="15"/>
              <w:spacing w:before="233" w:line="238" w:lineRule="auto"/>
              <w:ind w:left="34"/>
            </w:pPr>
            <w:r>
              <w:t>≥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548D5349">
            <w:pPr>
              <w:pStyle w:val="15"/>
              <w:spacing w:before="265" w:line="182" w:lineRule="auto"/>
              <w:ind w:left="54"/>
            </w:pPr>
            <w:r>
              <w:rPr>
                <w:spacing w:val="-2"/>
              </w:rPr>
              <w:t>90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619F1E5A">
            <w:pPr>
              <w:rPr>
                <w:rFonts w:ascii="Arial" w:hAnsi="Arial"/>
                <w:sz w:val="21"/>
              </w:rPr>
            </w:pP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4175A348">
            <w:pPr>
              <w:pStyle w:val="15"/>
              <w:spacing w:before="45" w:line="182" w:lineRule="auto"/>
              <w:ind w:left="4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15259EA4">
            <w:pPr>
              <w:pStyle w:val="15"/>
              <w:spacing w:before="215" w:line="185" w:lineRule="auto"/>
              <w:ind w:left="66"/>
            </w:pPr>
            <w:r>
              <w:rPr>
                <w:spacing w:val="-3"/>
              </w:rPr>
              <w:t>100%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4BF57BCE">
            <w:pPr>
              <w:pStyle w:val="15"/>
              <w:spacing w:before="96" w:line="182" w:lineRule="auto"/>
              <w:ind w:left="1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5BAB2F30">
            <w:pPr>
              <w:rPr>
                <w:rFonts w:ascii="Arial" w:hAnsi="Arial"/>
                <w:sz w:val="21"/>
              </w:rPr>
            </w:pPr>
          </w:p>
        </w:tc>
      </w:tr>
      <w:tr w14:paraId="1CE91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58F8DE2C"/>
        </w:tc>
        <w:tc>
          <w:tcPr>
            <w:tcW w:w="1069" w:type="dxa"/>
            <w:vMerge w:val="continue"/>
            <w:tcBorders>
              <w:top w:val="nil"/>
            </w:tcBorders>
          </w:tcPr>
          <w:p w14:paraId="053E700E"/>
        </w:tc>
        <w:tc>
          <w:tcPr>
            <w:tcW w:w="1604" w:type="dxa"/>
            <w:vMerge w:val="continue"/>
            <w:tcBorders>
              <w:top w:val="nil"/>
            </w:tcBorders>
          </w:tcPr>
          <w:p w14:paraId="43AAF31D"/>
        </w:tc>
        <w:tc>
          <w:tcPr>
            <w:tcW w:w="915" w:type="dxa"/>
            <w:vMerge w:val="continue"/>
            <w:tcBorders>
              <w:top w:val="nil"/>
            </w:tcBorders>
          </w:tcPr>
          <w:p w14:paraId="2EBABD87"/>
        </w:tc>
        <w:tc>
          <w:tcPr>
            <w:tcW w:w="899" w:type="dxa"/>
            <w:tcBorders>
              <w:left w:val="single" w:color="000000" w:sz="4" w:space="0"/>
            </w:tcBorders>
          </w:tcPr>
          <w:p w14:paraId="735DF3C0">
            <w:pPr>
              <w:pStyle w:val="15"/>
              <w:spacing w:before="181" w:line="221" w:lineRule="auto"/>
              <w:ind w:left="22"/>
            </w:pPr>
            <w:r>
              <w:rPr>
                <w:spacing w:val="-3"/>
              </w:rPr>
              <w:t>时效指标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6177DF58">
            <w:pPr>
              <w:pStyle w:val="15"/>
              <w:spacing w:before="180" w:line="218" w:lineRule="auto"/>
              <w:jc w:val="right"/>
            </w:pPr>
            <w:r>
              <w:rPr>
                <w:spacing w:val="-10"/>
              </w:rPr>
              <w:t>资金</w:t>
            </w:r>
            <w:r>
              <w:rPr>
                <w:spacing w:val="-9"/>
              </w:rPr>
              <w:t>汇划、结算的及时</w:t>
            </w:r>
            <w:r>
              <w:rPr>
                <w:spacing w:val="-7"/>
              </w:rPr>
              <w:t>率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7EDFDA1E">
            <w:pPr>
              <w:pStyle w:val="15"/>
              <w:spacing w:before="194" w:line="238" w:lineRule="auto"/>
              <w:ind w:left="34"/>
            </w:pPr>
            <w:r>
              <w:t>≥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271AC901">
            <w:pPr>
              <w:pStyle w:val="15"/>
              <w:spacing w:before="266" w:line="182" w:lineRule="auto"/>
              <w:ind w:left="54"/>
            </w:pPr>
            <w:r>
              <w:rPr>
                <w:spacing w:val="-2"/>
              </w:rPr>
              <w:t>90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304231B9">
            <w:pPr>
              <w:pStyle w:val="15"/>
              <w:spacing w:before="194"/>
              <w:ind w:left="33"/>
            </w:pPr>
            <w:r>
              <w:t>%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1AAF573A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38840F1F">
            <w:pPr>
              <w:pStyle w:val="15"/>
              <w:spacing w:before="216" w:line="182" w:lineRule="auto"/>
              <w:ind w:left="66"/>
            </w:pPr>
            <w:r>
              <w:rPr>
                <w:spacing w:val="-2"/>
              </w:rPr>
              <w:t>90%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0DD51A7D">
            <w:pPr>
              <w:pStyle w:val="15"/>
              <w:spacing w:before="217" w:line="182" w:lineRule="auto"/>
              <w:ind w:left="17"/>
            </w:pPr>
            <w: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700DC8B7">
            <w:pPr>
              <w:rPr>
                <w:rFonts w:ascii="Arial" w:hAnsi="Arial"/>
                <w:sz w:val="21"/>
              </w:rPr>
            </w:pPr>
          </w:p>
        </w:tc>
      </w:tr>
      <w:tr w14:paraId="1792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2E7B2856"/>
        </w:tc>
        <w:tc>
          <w:tcPr>
            <w:tcW w:w="1069" w:type="dxa"/>
            <w:vMerge w:val="restart"/>
            <w:tcBorders>
              <w:bottom w:val="nil"/>
            </w:tcBorders>
          </w:tcPr>
          <w:p w14:paraId="3482FC6B">
            <w:pPr>
              <w:spacing w:line="257" w:lineRule="auto"/>
              <w:rPr>
                <w:rFonts w:ascii="Arial" w:hAnsi="Arial"/>
                <w:sz w:val="21"/>
              </w:rPr>
            </w:pPr>
          </w:p>
          <w:p w14:paraId="41D82CD9">
            <w:pPr>
              <w:spacing w:line="257" w:lineRule="auto"/>
              <w:rPr>
                <w:rFonts w:ascii="Arial" w:hAnsi="Arial"/>
                <w:sz w:val="21"/>
              </w:rPr>
            </w:pPr>
          </w:p>
          <w:p w14:paraId="4ADA7BB8">
            <w:pPr>
              <w:pStyle w:val="15"/>
              <w:spacing w:before="45" w:line="223" w:lineRule="auto"/>
              <w:ind w:left="10"/>
            </w:pPr>
            <w:r>
              <w:rPr>
                <w:spacing w:val="-1"/>
              </w:rPr>
              <w:t>10-其他事务/01-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委托投资评审</w:t>
            </w:r>
          </w:p>
        </w:tc>
        <w:tc>
          <w:tcPr>
            <w:tcW w:w="1604" w:type="dxa"/>
            <w:vMerge w:val="restart"/>
            <w:tcBorders>
              <w:bottom w:val="nil"/>
            </w:tcBorders>
          </w:tcPr>
          <w:p w14:paraId="467B5F0A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32854C67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70B1A871">
            <w:pPr>
              <w:pStyle w:val="15"/>
              <w:spacing w:before="46" w:line="228" w:lineRule="auto"/>
              <w:ind w:left="11"/>
            </w:pPr>
            <w:r>
              <w:rPr>
                <w:spacing w:val="-8"/>
              </w:rPr>
              <w:t>完成评审工作量、出具评审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报告。</w:t>
            </w:r>
          </w:p>
        </w:tc>
        <w:tc>
          <w:tcPr>
            <w:tcW w:w="915" w:type="dxa"/>
            <w:vMerge w:val="restart"/>
            <w:tcBorders>
              <w:bottom w:val="nil"/>
            </w:tcBorders>
          </w:tcPr>
          <w:p w14:paraId="5DBE45D7">
            <w:pPr>
              <w:spacing w:line="295" w:lineRule="auto"/>
              <w:rPr>
                <w:rFonts w:ascii="Arial" w:hAnsi="Arial"/>
                <w:sz w:val="21"/>
              </w:rPr>
            </w:pPr>
          </w:p>
          <w:p w14:paraId="24C979A1">
            <w:pPr>
              <w:spacing w:line="295" w:lineRule="auto"/>
              <w:rPr>
                <w:rFonts w:ascii="Arial" w:hAnsi="Arial"/>
                <w:sz w:val="21"/>
              </w:rPr>
            </w:pPr>
          </w:p>
          <w:p w14:paraId="3CC90EBA">
            <w:pPr>
              <w:pStyle w:val="15"/>
              <w:spacing w:before="46" w:line="218" w:lineRule="auto"/>
              <w:ind w:left="41"/>
            </w:pPr>
            <w:r>
              <w:rPr>
                <w:spacing w:val="-2"/>
              </w:rPr>
              <w:t>产出指标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5FA25E5E">
            <w:pPr>
              <w:pStyle w:val="15"/>
              <w:spacing w:before="192" w:line="221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3E69F257">
            <w:pPr>
              <w:pStyle w:val="15"/>
              <w:spacing w:before="191" w:line="218" w:lineRule="auto"/>
              <w:ind w:left="33"/>
            </w:pPr>
            <w:r>
              <w:rPr>
                <w:spacing w:val="-1"/>
              </w:rPr>
              <w:t>合格率。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35BE5DB5">
            <w:pPr>
              <w:pStyle w:val="15"/>
              <w:spacing w:before="205" w:line="238" w:lineRule="auto"/>
              <w:ind w:left="34"/>
            </w:pPr>
            <w:r>
              <w:t>≥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4C99F303">
            <w:pPr>
              <w:pStyle w:val="15"/>
              <w:spacing w:before="227" w:line="182" w:lineRule="auto"/>
              <w:ind w:left="54"/>
            </w:pPr>
            <w:r>
              <w:rPr>
                <w:spacing w:val="-2"/>
              </w:rPr>
              <w:t>95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6C8B94EB">
            <w:pPr>
              <w:pStyle w:val="15"/>
              <w:spacing w:before="205"/>
              <w:ind w:left="33"/>
            </w:pPr>
            <w:r>
              <w:t>%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7C1CF94D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0F14A00E">
            <w:pPr>
              <w:pStyle w:val="15"/>
              <w:spacing w:before="227" w:line="185" w:lineRule="auto"/>
              <w:ind w:left="66"/>
            </w:pPr>
            <w:r>
              <w:rPr>
                <w:spacing w:val="-3"/>
              </w:rPr>
              <w:t>100%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7CC870A7">
            <w:pPr>
              <w:pStyle w:val="15"/>
              <w:spacing w:before="228" w:line="182" w:lineRule="auto"/>
              <w:ind w:left="17"/>
            </w:pPr>
            <w: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5A4D80A2">
            <w:pPr>
              <w:rPr>
                <w:rFonts w:ascii="Arial" w:hAnsi="Arial"/>
                <w:sz w:val="21"/>
              </w:rPr>
            </w:pPr>
          </w:p>
        </w:tc>
      </w:tr>
      <w:tr w14:paraId="700F7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2F474ACF"/>
        </w:tc>
        <w:tc>
          <w:tcPr>
            <w:tcW w:w="1069" w:type="dxa"/>
            <w:vMerge w:val="continue"/>
            <w:tcBorders>
              <w:top w:val="nil"/>
            </w:tcBorders>
          </w:tcPr>
          <w:p w14:paraId="088D3E52"/>
        </w:tc>
        <w:tc>
          <w:tcPr>
            <w:tcW w:w="1604" w:type="dxa"/>
            <w:vMerge w:val="continue"/>
            <w:tcBorders>
              <w:top w:val="nil"/>
            </w:tcBorders>
          </w:tcPr>
          <w:p w14:paraId="53123977"/>
        </w:tc>
        <w:tc>
          <w:tcPr>
            <w:tcW w:w="915" w:type="dxa"/>
            <w:vMerge w:val="continue"/>
            <w:tcBorders>
              <w:top w:val="nil"/>
            </w:tcBorders>
          </w:tcPr>
          <w:p w14:paraId="26DF8A5D"/>
        </w:tc>
        <w:tc>
          <w:tcPr>
            <w:tcW w:w="899" w:type="dxa"/>
            <w:tcBorders>
              <w:left w:val="single" w:color="000000" w:sz="4" w:space="0"/>
            </w:tcBorders>
          </w:tcPr>
          <w:p w14:paraId="75B63E44">
            <w:pPr>
              <w:spacing w:line="336" w:lineRule="auto"/>
              <w:rPr>
                <w:rFonts w:ascii="Arial" w:hAnsi="Arial"/>
                <w:sz w:val="21"/>
              </w:rPr>
            </w:pPr>
          </w:p>
          <w:p w14:paraId="31B8267C">
            <w:pPr>
              <w:pStyle w:val="15"/>
              <w:spacing w:before="46" w:line="221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6AEA8ED0">
            <w:pPr>
              <w:spacing w:line="336" w:lineRule="auto"/>
              <w:rPr>
                <w:rFonts w:ascii="Arial" w:hAnsi="Arial"/>
                <w:sz w:val="21"/>
              </w:rPr>
            </w:pPr>
          </w:p>
          <w:p w14:paraId="6E49654A">
            <w:pPr>
              <w:pStyle w:val="15"/>
              <w:spacing w:before="45" w:line="218" w:lineRule="auto"/>
              <w:ind w:left="33"/>
            </w:pPr>
            <w:r>
              <w:rPr>
                <w:spacing w:val="-1"/>
              </w:rPr>
              <w:t>完成率。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616B9786">
            <w:pPr>
              <w:spacing w:line="348" w:lineRule="auto"/>
              <w:rPr>
                <w:rFonts w:ascii="Arial" w:hAnsi="Arial"/>
                <w:sz w:val="21"/>
              </w:rPr>
            </w:pPr>
          </w:p>
          <w:p w14:paraId="7E4AE43D">
            <w:pPr>
              <w:pStyle w:val="15"/>
              <w:spacing w:before="46" w:line="238" w:lineRule="auto"/>
              <w:ind w:left="34"/>
            </w:pPr>
            <w:r>
              <w:t>≥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7ED1ABB5">
            <w:pPr>
              <w:spacing w:line="372" w:lineRule="auto"/>
              <w:rPr>
                <w:rFonts w:ascii="Arial" w:hAnsi="Arial"/>
                <w:sz w:val="21"/>
              </w:rPr>
            </w:pPr>
          </w:p>
          <w:p w14:paraId="004405BA">
            <w:pPr>
              <w:pStyle w:val="15"/>
              <w:spacing w:before="45" w:line="182" w:lineRule="auto"/>
              <w:ind w:left="54"/>
            </w:pPr>
            <w:r>
              <w:rPr>
                <w:spacing w:val="-2"/>
              </w:rPr>
              <w:t>80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72834C18">
            <w:pPr>
              <w:spacing w:line="348" w:lineRule="auto"/>
              <w:rPr>
                <w:rFonts w:ascii="Arial" w:hAnsi="Arial"/>
                <w:sz w:val="21"/>
              </w:rPr>
            </w:pPr>
          </w:p>
          <w:p w14:paraId="20C7D1CB">
            <w:pPr>
              <w:pStyle w:val="15"/>
              <w:spacing w:before="46"/>
              <w:ind w:left="33"/>
            </w:pPr>
            <w:r>
              <w:t>%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3A5B52F3">
            <w:pPr>
              <w:pStyle w:val="15"/>
              <w:spacing w:before="45" w:line="182" w:lineRule="auto"/>
              <w:ind w:left="44"/>
            </w:pPr>
          </w:p>
          <w:p w14:paraId="687C607C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37D0B11F">
            <w:pPr>
              <w:spacing w:line="370" w:lineRule="auto"/>
              <w:rPr>
                <w:rFonts w:ascii="Arial" w:hAnsi="Arial"/>
                <w:sz w:val="21"/>
              </w:rPr>
            </w:pPr>
          </w:p>
          <w:p w14:paraId="0C41986D">
            <w:pPr>
              <w:pStyle w:val="15"/>
              <w:spacing w:before="45" w:line="185" w:lineRule="auto"/>
              <w:ind w:left="66"/>
            </w:pPr>
            <w:r>
              <w:rPr>
                <w:spacing w:val="-3"/>
              </w:rPr>
              <w:t>100%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0D59DEEB">
            <w:pPr>
              <w:spacing w:line="372" w:lineRule="auto"/>
              <w:rPr>
                <w:rFonts w:ascii="Arial" w:hAnsi="Arial"/>
                <w:sz w:val="21"/>
              </w:rPr>
            </w:pPr>
          </w:p>
          <w:p w14:paraId="46491F54">
            <w:pPr>
              <w:pStyle w:val="15"/>
              <w:spacing w:before="45" w:line="182" w:lineRule="auto"/>
              <w:ind w:left="17"/>
            </w:pPr>
            <w:r>
              <w:t>3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  <w:shd w:val="clear" w:color="auto" w:fill="7A7C7E"/>
          </w:tcPr>
          <w:p w14:paraId="4E1AD867">
            <w:pPr>
              <w:pStyle w:val="15"/>
              <w:spacing w:before="141" w:line="221" w:lineRule="auto"/>
              <w:ind w:left="17" w:firstLine="19"/>
              <w:jc w:val="both"/>
            </w:pPr>
            <w:r>
              <w:rPr>
                <w:color w:val="FFFFFF"/>
                <w:spacing w:val="-1"/>
              </w:rPr>
              <w:t>按照业务处报送竣工决(结)算评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9"/>
              </w:rPr>
              <w:t>审项目情况，2023年度纳入评审招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  <w:spacing w:val="-8"/>
              </w:rPr>
              <w:t>标的项目17个，计划2024年内完成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2"/>
              </w:rPr>
              <w:t>评审并拨付评审费。</w:t>
            </w:r>
          </w:p>
        </w:tc>
      </w:tr>
      <w:tr w14:paraId="2831C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58135437"/>
        </w:tc>
        <w:tc>
          <w:tcPr>
            <w:tcW w:w="1069" w:type="dxa"/>
            <w:vMerge w:val="restart"/>
            <w:tcBorders>
              <w:bottom w:val="nil"/>
            </w:tcBorders>
          </w:tcPr>
          <w:p w14:paraId="26F9928D">
            <w:pPr>
              <w:spacing w:line="298" w:lineRule="auto"/>
              <w:rPr>
                <w:rFonts w:ascii="Arial" w:hAnsi="Arial"/>
                <w:sz w:val="21"/>
              </w:rPr>
            </w:pPr>
          </w:p>
          <w:p w14:paraId="7D7B4BB3">
            <w:pPr>
              <w:spacing w:line="298" w:lineRule="auto"/>
              <w:rPr>
                <w:rFonts w:ascii="Arial" w:hAnsi="Arial"/>
                <w:sz w:val="21"/>
              </w:rPr>
            </w:pPr>
          </w:p>
          <w:p w14:paraId="6919EDCD">
            <w:pPr>
              <w:pStyle w:val="15"/>
              <w:spacing w:before="46" w:line="216" w:lineRule="auto"/>
              <w:ind w:left="10"/>
            </w:pPr>
            <w:r>
              <w:rPr>
                <w:spacing w:val="-1"/>
              </w:rPr>
              <w:t>10-其他事务/02-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信息化运行</w:t>
            </w:r>
          </w:p>
        </w:tc>
        <w:tc>
          <w:tcPr>
            <w:tcW w:w="1604" w:type="dxa"/>
            <w:tcBorders>
              <w:left w:val="single" w:color="000000" w:sz="4" w:space="0"/>
            </w:tcBorders>
            <w:shd w:val="clear" w:color="auto" w:fill="767879"/>
          </w:tcPr>
          <w:p w14:paraId="2EF138D4">
            <w:pPr>
              <w:pStyle w:val="15"/>
              <w:spacing w:before="192" w:line="223" w:lineRule="auto"/>
              <w:ind w:left="11"/>
              <w:jc w:val="both"/>
            </w:pPr>
            <w:r>
              <w:rPr>
                <w:color w:val="FFFFFF"/>
                <w:spacing w:val="-8"/>
              </w:rPr>
              <w:t>保障财政信息化系统正常运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8"/>
              </w:rPr>
              <w:t>行，数据传输正常、保存完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8"/>
              </w:rPr>
              <w:t>整、安全，为财政业务工作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1"/>
              </w:rPr>
              <w:t>正常开展提供坚实基础</w:t>
            </w:r>
          </w:p>
        </w:tc>
        <w:tc>
          <w:tcPr>
            <w:tcW w:w="915" w:type="dxa"/>
            <w:tcBorders>
              <w:left w:val="single" w:color="000000" w:sz="4" w:space="0"/>
            </w:tcBorders>
          </w:tcPr>
          <w:p w14:paraId="268A82F2">
            <w:pPr>
              <w:spacing w:line="406" w:lineRule="auto"/>
              <w:rPr>
                <w:rFonts w:ascii="Arial" w:hAnsi="Arial"/>
                <w:sz w:val="21"/>
              </w:rPr>
            </w:pPr>
          </w:p>
          <w:p w14:paraId="61CE2B7D">
            <w:pPr>
              <w:pStyle w:val="15"/>
              <w:spacing w:before="46" w:line="218" w:lineRule="auto"/>
              <w:ind w:left="41"/>
            </w:pPr>
            <w:r>
              <w:rPr>
                <w:spacing w:val="-2"/>
              </w:rPr>
              <w:t>产出指标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7EA1CCC0">
            <w:pPr>
              <w:spacing w:line="406" w:lineRule="auto"/>
              <w:rPr>
                <w:rFonts w:ascii="Arial" w:hAnsi="Arial"/>
                <w:sz w:val="21"/>
              </w:rPr>
            </w:pPr>
          </w:p>
          <w:p w14:paraId="78E9354F">
            <w:pPr>
              <w:pStyle w:val="15"/>
              <w:spacing w:before="45" w:line="221" w:lineRule="auto"/>
              <w:ind w:left="22"/>
            </w:pPr>
            <w:r>
              <w:rPr>
                <w:spacing w:val="-2"/>
              </w:rPr>
              <w:t>质量指标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5E5B1896">
            <w:pPr>
              <w:spacing w:line="406" w:lineRule="auto"/>
              <w:rPr>
                <w:rFonts w:ascii="Arial" w:hAnsi="Arial"/>
                <w:sz w:val="21"/>
              </w:rPr>
            </w:pPr>
          </w:p>
          <w:p w14:paraId="29233686">
            <w:pPr>
              <w:pStyle w:val="15"/>
              <w:spacing w:before="46" w:line="218" w:lineRule="auto"/>
              <w:ind w:left="33"/>
            </w:pPr>
            <w:r>
              <w:t>系统运行故障率。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6DEF2714">
            <w:pPr>
              <w:spacing w:line="418" w:lineRule="auto"/>
              <w:rPr>
                <w:rFonts w:ascii="Arial" w:hAnsi="Arial"/>
                <w:sz w:val="21"/>
              </w:rPr>
            </w:pPr>
          </w:p>
          <w:p w14:paraId="69598093">
            <w:pPr>
              <w:pStyle w:val="15"/>
              <w:spacing w:before="45" w:line="235" w:lineRule="auto"/>
              <w:ind w:left="34"/>
            </w:pPr>
            <w:r>
              <w:t>≤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4B65C39D">
            <w:pPr>
              <w:spacing w:line="442" w:lineRule="auto"/>
              <w:rPr>
                <w:rFonts w:ascii="Arial" w:hAnsi="Arial"/>
                <w:sz w:val="21"/>
              </w:rPr>
            </w:pPr>
          </w:p>
          <w:p w14:paraId="331A7D00">
            <w:pPr>
              <w:pStyle w:val="15"/>
              <w:spacing w:before="45" w:line="182" w:lineRule="auto"/>
              <w:ind w:left="5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4499FCF8">
            <w:pPr>
              <w:spacing w:line="420" w:lineRule="auto"/>
              <w:rPr>
                <w:rFonts w:ascii="Arial" w:hAnsi="Arial"/>
                <w:sz w:val="21"/>
              </w:rPr>
            </w:pPr>
          </w:p>
          <w:p w14:paraId="626C01B2">
            <w:pPr>
              <w:pStyle w:val="15"/>
              <w:spacing w:before="45"/>
              <w:ind w:left="33"/>
            </w:pPr>
            <w:r>
              <w:t>%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54370857">
            <w:pPr>
              <w:pStyle w:val="15"/>
              <w:spacing w:before="45" w:line="182" w:lineRule="auto"/>
              <w:ind w:left="44"/>
            </w:pPr>
          </w:p>
          <w:p w14:paraId="2E4755B0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538913FA">
            <w:pPr>
              <w:spacing w:line="439" w:lineRule="auto"/>
              <w:rPr>
                <w:rFonts w:ascii="Arial" w:hAnsi="Arial"/>
                <w:sz w:val="21"/>
              </w:rPr>
            </w:pPr>
          </w:p>
          <w:p w14:paraId="10429E03">
            <w:pPr>
              <w:pStyle w:val="15"/>
              <w:spacing w:before="46" w:line="185" w:lineRule="auto"/>
              <w:ind w:left="66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  <w:lang w:val="en-US" w:eastAsia="zh-CN"/>
              </w:rPr>
              <w:t>00</w:t>
            </w:r>
            <w:r>
              <w:rPr>
                <w:spacing w:val="-4"/>
              </w:rPr>
              <w:t>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69658A34">
            <w:pPr>
              <w:pStyle w:val="15"/>
              <w:spacing w:before="46" w:line="185" w:lineRule="auto"/>
              <w:ind w:left="66"/>
            </w:pPr>
          </w:p>
          <w:p w14:paraId="7A794234">
            <w:pPr>
              <w:pStyle w:val="15"/>
              <w:spacing w:before="46" w:line="185" w:lineRule="auto"/>
              <w:ind w:left="66"/>
            </w:pPr>
            <w: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6E31CE8C">
            <w:pPr>
              <w:rPr>
                <w:rFonts w:ascii="Arial" w:hAnsi="Arial"/>
                <w:sz w:val="21"/>
              </w:rPr>
            </w:pPr>
          </w:p>
        </w:tc>
      </w:tr>
      <w:tr w14:paraId="058E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</w:tcPr>
          <w:p w14:paraId="27DC534E"/>
        </w:tc>
        <w:tc>
          <w:tcPr>
            <w:tcW w:w="1069" w:type="dxa"/>
            <w:vMerge w:val="continue"/>
            <w:tcBorders>
              <w:top w:val="nil"/>
            </w:tcBorders>
          </w:tcPr>
          <w:p w14:paraId="041A5440"/>
        </w:tc>
        <w:tc>
          <w:tcPr>
            <w:tcW w:w="1604" w:type="dxa"/>
            <w:tcBorders>
              <w:left w:val="single" w:color="000000" w:sz="4" w:space="0"/>
            </w:tcBorders>
          </w:tcPr>
          <w:p w14:paraId="7B136417">
            <w:pPr>
              <w:pStyle w:val="15"/>
              <w:spacing w:before="194" w:line="218" w:lineRule="auto"/>
              <w:ind w:left="11"/>
            </w:pPr>
            <w:r>
              <w:rPr>
                <w:spacing w:val="-1"/>
              </w:rPr>
              <w:t>财政信息化运行维护。</w:t>
            </w:r>
          </w:p>
        </w:tc>
        <w:tc>
          <w:tcPr>
            <w:tcW w:w="915" w:type="dxa"/>
            <w:tcBorders>
              <w:left w:val="single" w:color="000000" w:sz="4" w:space="0"/>
            </w:tcBorders>
          </w:tcPr>
          <w:p w14:paraId="0F6A05AB">
            <w:pPr>
              <w:pStyle w:val="15"/>
              <w:spacing w:before="194" w:line="218" w:lineRule="auto"/>
              <w:ind w:left="4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4349D53A">
            <w:pPr>
              <w:pStyle w:val="15"/>
              <w:spacing w:before="124" w:line="216" w:lineRule="auto"/>
              <w:ind w:left="22" w:right="32"/>
            </w:pPr>
            <w:r>
              <w:rPr>
                <w:spacing w:val="-1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708E90D4">
            <w:pPr>
              <w:pStyle w:val="15"/>
              <w:spacing w:before="114" w:line="216" w:lineRule="auto"/>
              <w:ind w:left="33" w:hanging="20"/>
            </w:pPr>
            <w:r>
              <w:rPr>
                <w:spacing w:val="-8"/>
              </w:rPr>
              <w:t>系统使用人员对系统功能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满意。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294CA187">
            <w:pPr>
              <w:pStyle w:val="15"/>
              <w:spacing w:before="208" w:line="238" w:lineRule="auto"/>
              <w:ind w:left="34"/>
            </w:pPr>
            <w:r>
              <w:t>≥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1147E9F6">
            <w:pPr>
              <w:pStyle w:val="15"/>
              <w:spacing w:before="230" w:line="182" w:lineRule="auto"/>
              <w:ind w:left="54"/>
            </w:pPr>
            <w:r>
              <w:rPr>
                <w:spacing w:val="-2"/>
              </w:rPr>
              <w:t>90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117FF845">
            <w:pPr>
              <w:pStyle w:val="15"/>
              <w:spacing w:before="208"/>
              <w:ind w:left="33"/>
            </w:pPr>
            <w:r>
              <w:t>%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52298B97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25068DBB">
            <w:pPr>
              <w:pStyle w:val="15"/>
              <w:spacing w:before="230" w:line="182" w:lineRule="auto"/>
              <w:ind w:left="66"/>
            </w:pPr>
            <w:r>
              <w:rPr>
                <w:spacing w:val="-2"/>
              </w:rPr>
              <w:t>95%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14B41CB3">
            <w:pPr>
              <w:pStyle w:val="15"/>
              <w:spacing w:before="46" w:line="185" w:lineRule="auto"/>
              <w:ind w:left="6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08B5DECF">
            <w:pPr>
              <w:rPr>
                <w:rFonts w:ascii="Arial" w:hAnsi="Arial"/>
                <w:sz w:val="21"/>
              </w:rPr>
            </w:pPr>
          </w:p>
        </w:tc>
      </w:tr>
      <w:tr w14:paraId="25426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 w14:paraId="2E396BB2"/>
        </w:tc>
        <w:tc>
          <w:tcPr>
            <w:tcW w:w="1069" w:type="dxa"/>
            <w:tcBorders>
              <w:left w:val="single" w:color="000000" w:sz="4" w:space="0"/>
            </w:tcBorders>
          </w:tcPr>
          <w:p w14:paraId="52EC5445">
            <w:pPr>
              <w:rPr>
                <w:rFonts w:ascii="Arial" w:hAns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4" w:space="0"/>
            </w:tcBorders>
          </w:tcPr>
          <w:p w14:paraId="05E6C7E4">
            <w:pPr>
              <w:pStyle w:val="15"/>
              <w:spacing w:before="106" w:line="247" w:lineRule="auto"/>
              <w:ind w:left="11" w:right="2"/>
            </w:pPr>
            <w:r>
              <w:rPr>
                <w:spacing w:val="-8"/>
              </w:rPr>
              <w:t>提升财政资金使用效益，并</w:t>
            </w:r>
            <w:r>
              <w:t xml:space="preserve"> </w:t>
            </w:r>
            <w:r>
              <w:rPr>
                <w:spacing w:val="-1"/>
              </w:rPr>
              <w:t>推进绩效评价结果应用。</w:t>
            </w:r>
          </w:p>
        </w:tc>
        <w:tc>
          <w:tcPr>
            <w:tcW w:w="915" w:type="dxa"/>
            <w:tcBorders>
              <w:left w:val="single" w:color="000000" w:sz="4" w:space="0"/>
            </w:tcBorders>
          </w:tcPr>
          <w:p w14:paraId="1C9ACC91">
            <w:pPr>
              <w:pStyle w:val="15"/>
              <w:spacing w:before="186" w:line="221" w:lineRule="auto"/>
              <w:ind w:left="41"/>
            </w:pPr>
            <w:r>
              <w:rPr>
                <w:spacing w:val="-2"/>
              </w:rPr>
              <w:t>效益指标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2FF0DAE8">
            <w:pPr>
              <w:pStyle w:val="15"/>
              <w:spacing w:before="186" w:line="221" w:lineRule="auto"/>
              <w:ind w:left="22"/>
            </w:pPr>
            <w:r>
              <w:rPr>
                <w:spacing w:val="-1"/>
              </w:rPr>
              <w:t>经济效益指标</w:t>
            </w:r>
          </w:p>
        </w:tc>
        <w:tc>
          <w:tcPr>
            <w:tcW w:w="1479" w:type="dxa"/>
            <w:tcBorders>
              <w:left w:val="single" w:color="000000" w:sz="4" w:space="0"/>
            </w:tcBorders>
          </w:tcPr>
          <w:p w14:paraId="4117525A">
            <w:pPr>
              <w:pStyle w:val="15"/>
              <w:spacing w:before="186" w:line="221" w:lineRule="auto"/>
              <w:ind w:left="33"/>
            </w:pPr>
            <w:r>
              <w:t>对财政资金提质增效。</w:t>
            </w:r>
          </w:p>
        </w:tc>
        <w:tc>
          <w:tcPr>
            <w:tcW w:w="890" w:type="dxa"/>
            <w:tcBorders>
              <w:left w:val="single" w:color="000000" w:sz="4" w:space="0"/>
            </w:tcBorders>
          </w:tcPr>
          <w:p w14:paraId="0C661CC3">
            <w:pPr>
              <w:pStyle w:val="15"/>
              <w:spacing w:before="186" w:line="221" w:lineRule="auto"/>
              <w:ind w:left="34"/>
            </w:pPr>
            <w:r>
              <w:rPr>
                <w:spacing w:val="-3"/>
              </w:rPr>
              <w:t>定性</w:t>
            </w:r>
          </w:p>
        </w:tc>
        <w:tc>
          <w:tcPr>
            <w:tcW w:w="840" w:type="dxa"/>
            <w:tcBorders>
              <w:left w:val="single" w:color="000000" w:sz="4" w:space="0"/>
            </w:tcBorders>
          </w:tcPr>
          <w:p w14:paraId="38F92292">
            <w:pPr>
              <w:pStyle w:val="15"/>
              <w:spacing w:before="186" w:line="221" w:lineRule="auto"/>
              <w:ind w:left="54"/>
            </w:pPr>
            <w:r>
              <w:rPr>
                <w:spacing w:val="-2"/>
              </w:rPr>
              <w:t>有效提升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50D247D1">
            <w:pPr>
              <w:rPr>
                <w:rFonts w:ascii="Arial" w:hAnsi="Arial"/>
                <w:sz w:val="21"/>
              </w:rPr>
            </w:pP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767F861F">
            <w:pPr>
              <w:pStyle w:val="15"/>
              <w:spacing w:before="45" w:line="182" w:lineRule="auto"/>
              <w:ind w:left="44"/>
            </w:pPr>
            <w:r>
              <w:t>5</w:t>
            </w:r>
          </w:p>
        </w:tc>
        <w:tc>
          <w:tcPr>
            <w:tcW w:w="999" w:type="dxa"/>
            <w:tcBorders>
              <w:left w:val="single" w:color="000000" w:sz="4" w:space="0"/>
            </w:tcBorders>
          </w:tcPr>
          <w:p w14:paraId="782BA22B">
            <w:pPr>
              <w:pStyle w:val="15"/>
              <w:spacing w:before="115" w:line="216" w:lineRule="auto"/>
              <w:ind w:left="65" w:hanging="29"/>
            </w:pPr>
            <w:r>
              <w:rPr>
                <w:spacing w:val="-4"/>
              </w:rPr>
              <w:t>对财政资金提质</w:t>
            </w:r>
            <w:r>
              <w:t xml:space="preserve"> </w:t>
            </w:r>
            <w:r>
              <w:rPr>
                <w:spacing w:val="-2"/>
              </w:rPr>
              <w:t>增效。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0A35F633">
            <w:pPr>
              <w:pStyle w:val="15"/>
              <w:spacing w:before="46" w:line="185" w:lineRule="auto"/>
              <w:ind w:left="6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</w:tcBorders>
          </w:tcPr>
          <w:p w14:paraId="6DE9680D">
            <w:pPr>
              <w:rPr>
                <w:rFonts w:ascii="Arial" w:hAnsi="Arial"/>
                <w:sz w:val="21"/>
              </w:rPr>
            </w:pPr>
          </w:p>
        </w:tc>
      </w:tr>
    </w:tbl>
    <w:p w14:paraId="1F33912A">
      <w:pPr>
        <w:rPr>
          <w:rFonts w:ascii="Arial" w:hAnsi="Arial"/>
          <w:sz w:val="21"/>
        </w:rPr>
      </w:pPr>
    </w:p>
    <w:p w14:paraId="0D921E6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540" w:h="12080"/>
          <w:pgMar w:top="1026" w:right="1174" w:bottom="400" w:left="1044" w:header="0" w:footer="0" w:gutter="0"/>
          <w:cols w:space="720" w:num="1"/>
          <w:docGrid w:linePitch="312" w:charSpace="0"/>
        </w:sectPr>
      </w:pPr>
    </w:p>
    <w:p w14:paraId="32521926"/>
    <w:tbl>
      <w:tblPr>
        <w:tblStyle w:val="9"/>
        <w:tblW w:w="14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69"/>
        <w:gridCol w:w="1619"/>
        <w:gridCol w:w="899"/>
        <w:gridCol w:w="909"/>
        <w:gridCol w:w="1469"/>
        <w:gridCol w:w="909"/>
        <w:gridCol w:w="829"/>
        <w:gridCol w:w="1009"/>
        <w:gridCol w:w="1010"/>
        <w:gridCol w:w="1019"/>
        <w:gridCol w:w="989"/>
        <w:gridCol w:w="1994"/>
      </w:tblGrid>
      <w:tr w14:paraId="35D4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</w:tcPr>
          <w:p w14:paraId="6213A2C8">
            <w:pPr>
              <w:pStyle w:val="15"/>
              <w:spacing w:before="245" w:line="202" w:lineRule="auto"/>
            </w:pPr>
            <w:r>
              <w:rPr>
                <w:spacing w:val="-1"/>
              </w:rPr>
              <w:t>门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绩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069" w:type="dxa"/>
          </w:tcPr>
          <w:p w14:paraId="7212B2FB">
            <w:pPr>
              <w:spacing w:line="374" w:lineRule="auto"/>
              <w:rPr>
                <w:rFonts w:ascii="Arial" w:hAnsi="Arial"/>
                <w:sz w:val="21"/>
              </w:rPr>
            </w:pPr>
          </w:p>
          <w:p w14:paraId="64FC9520">
            <w:pPr>
              <w:pStyle w:val="15"/>
              <w:spacing w:before="46" w:line="214" w:lineRule="auto"/>
              <w:ind w:left="39" w:right="4"/>
              <w:jc w:val="both"/>
            </w:pPr>
            <w:r>
              <w:rPr>
                <w:spacing w:val="-4"/>
              </w:rPr>
              <w:t>08-财政监督/04-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购买会计审计服</w:t>
            </w:r>
            <w:r>
              <w:rPr>
                <w:spacing w:val="1"/>
              </w:rPr>
              <w:t xml:space="preserve"> </w:t>
            </w:r>
            <w:r>
              <w:t>务</w:t>
            </w:r>
          </w:p>
        </w:tc>
        <w:tc>
          <w:tcPr>
            <w:tcW w:w="1619" w:type="dxa"/>
          </w:tcPr>
          <w:p w14:paraId="66847B0C">
            <w:pPr>
              <w:spacing w:line="360" w:lineRule="auto"/>
              <w:rPr>
                <w:rFonts w:ascii="Arial" w:hAnsi="Arial"/>
                <w:sz w:val="21"/>
              </w:rPr>
            </w:pPr>
          </w:p>
          <w:p w14:paraId="1909FF85">
            <w:pPr>
              <w:spacing w:line="360" w:lineRule="auto"/>
              <w:rPr>
                <w:rFonts w:ascii="Arial" w:hAnsi="Arial"/>
                <w:sz w:val="21"/>
              </w:rPr>
            </w:pPr>
          </w:p>
          <w:p w14:paraId="6432C0E5">
            <w:pPr>
              <w:pStyle w:val="15"/>
              <w:spacing w:before="45" w:line="230" w:lineRule="auto"/>
              <w:ind w:left="10" w:right="2"/>
            </w:pPr>
            <w:r>
              <w:rPr>
                <w:spacing w:val="-8"/>
              </w:rPr>
              <w:t>开展绩效评价、财经纪律检</w:t>
            </w:r>
            <w:r>
              <w:rPr>
                <w:spacing w:val="10"/>
              </w:rPr>
              <w:t xml:space="preserve"> </w:t>
            </w:r>
            <w:r>
              <w:t>查工作。</w:t>
            </w:r>
          </w:p>
        </w:tc>
        <w:tc>
          <w:tcPr>
            <w:tcW w:w="899" w:type="dxa"/>
          </w:tcPr>
          <w:p w14:paraId="12D3D70C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25B6768E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00167F99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18CE6525">
            <w:pPr>
              <w:pStyle w:val="15"/>
              <w:spacing w:before="46" w:line="221" w:lineRule="auto"/>
              <w:ind w:left="31"/>
            </w:pPr>
            <w:r>
              <w:rPr>
                <w:spacing w:val="-2"/>
              </w:rPr>
              <w:t>效益指标</w:t>
            </w:r>
          </w:p>
        </w:tc>
        <w:tc>
          <w:tcPr>
            <w:tcW w:w="909" w:type="dxa"/>
          </w:tcPr>
          <w:p w14:paraId="487053F0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70EA9EF8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2189DFEA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57C1D9DD">
            <w:pPr>
              <w:pStyle w:val="15"/>
              <w:spacing w:before="46" w:line="218" w:lineRule="auto"/>
              <w:ind w:left="3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469" w:type="dxa"/>
          </w:tcPr>
          <w:p w14:paraId="4D8D1071">
            <w:pPr>
              <w:spacing w:line="360" w:lineRule="auto"/>
              <w:rPr>
                <w:rFonts w:ascii="Arial" w:hAnsi="Arial"/>
                <w:sz w:val="21"/>
              </w:rPr>
            </w:pPr>
          </w:p>
          <w:p w14:paraId="6D1194F0">
            <w:pPr>
              <w:spacing w:line="360" w:lineRule="auto"/>
              <w:rPr>
                <w:rFonts w:ascii="Arial" w:hAnsi="Arial"/>
                <w:sz w:val="21"/>
              </w:rPr>
            </w:pPr>
          </w:p>
          <w:p w14:paraId="69851B5C">
            <w:pPr>
              <w:pStyle w:val="15"/>
              <w:spacing w:before="46" w:line="216" w:lineRule="auto"/>
              <w:ind w:left="13"/>
            </w:pPr>
            <w:r>
              <w:rPr>
                <w:spacing w:val="-10"/>
              </w:rPr>
              <w:t>进一</w:t>
            </w:r>
            <w:r>
              <w:rPr>
                <w:spacing w:val="-9"/>
              </w:rPr>
              <w:t>步规范财经秩序、</w:t>
            </w:r>
            <w:r>
              <w:rPr>
                <w:spacing w:val="-7"/>
              </w:rPr>
              <w:t>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肃财经纪律。</w:t>
            </w:r>
          </w:p>
        </w:tc>
        <w:tc>
          <w:tcPr>
            <w:tcW w:w="909" w:type="dxa"/>
          </w:tcPr>
          <w:p w14:paraId="0A8D8175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01655AB0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3528CDEE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6A7522D4">
            <w:pPr>
              <w:pStyle w:val="15"/>
              <w:spacing w:before="46" w:line="221" w:lineRule="auto"/>
              <w:ind w:left="25"/>
            </w:pPr>
            <w:r>
              <w:rPr>
                <w:spacing w:val="-3"/>
              </w:rPr>
              <w:t>定性</w:t>
            </w:r>
          </w:p>
        </w:tc>
        <w:tc>
          <w:tcPr>
            <w:tcW w:w="829" w:type="dxa"/>
          </w:tcPr>
          <w:p w14:paraId="1EC0012F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4958990E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4BEE0069">
            <w:pPr>
              <w:spacing w:line="264" w:lineRule="auto"/>
              <w:rPr>
                <w:rFonts w:ascii="Arial" w:hAnsi="Arial"/>
                <w:sz w:val="21"/>
              </w:rPr>
            </w:pPr>
          </w:p>
          <w:p w14:paraId="528A0678">
            <w:pPr>
              <w:pStyle w:val="15"/>
              <w:spacing w:before="46" w:line="221" w:lineRule="auto"/>
              <w:ind w:left="25"/>
            </w:pPr>
            <w:r>
              <w:rPr>
                <w:spacing w:val="-2"/>
              </w:rPr>
              <w:t>有效提升</w:t>
            </w:r>
          </w:p>
        </w:tc>
        <w:tc>
          <w:tcPr>
            <w:tcW w:w="1009" w:type="dxa"/>
          </w:tcPr>
          <w:p w14:paraId="08F8BCAB">
            <w:pPr>
              <w:rPr>
                <w:rFonts w:ascii="Arial" w:hAnsi="Arial"/>
                <w:sz w:val="21"/>
              </w:rPr>
            </w:pPr>
          </w:p>
        </w:tc>
        <w:tc>
          <w:tcPr>
            <w:tcW w:w="1010" w:type="dxa"/>
          </w:tcPr>
          <w:p w14:paraId="0517A020">
            <w:pPr>
              <w:pStyle w:val="15"/>
              <w:spacing w:before="259" w:line="182" w:lineRule="auto"/>
              <w:ind w:left="47"/>
            </w:pPr>
          </w:p>
          <w:p w14:paraId="3EBDA363">
            <w:pPr>
              <w:pStyle w:val="15"/>
              <w:spacing w:before="259" w:line="182" w:lineRule="auto"/>
              <w:ind w:left="47"/>
            </w:pPr>
          </w:p>
          <w:p w14:paraId="28DC1912">
            <w:pPr>
              <w:pStyle w:val="15"/>
              <w:spacing w:before="259" w:line="182" w:lineRule="auto"/>
              <w:ind w:left="47"/>
            </w:pPr>
          </w:p>
          <w:p w14:paraId="7A3ACC2D">
            <w:pPr>
              <w:pStyle w:val="15"/>
              <w:spacing w:before="259" w:line="182" w:lineRule="auto"/>
              <w:ind w:left="47"/>
            </w:pPr>
            <w:r>
              <w:t>5</w:t>
            </w:r>
          </w:p>
        </w:tc>
        <w:tc>
          <w:tcPr>
            <w:tcW w:w="1019" w:type="dxa"/>
          </w:tcPr>
          <w:p w14:paraId="366851FE">
            <w:pPr>
              <w:spacing w:line="314" w:lineRule="auto"/>
              <w:rPr>
                <w:rFonts w:ascii="Arial" w:hAnsi="Arial"/>
                <w:sz w:val="21"/>
              </w:rPr>
            </w:pPr>
          </w:p>
          <w:p w14:paraId="0EC53CEA">
            <w:pPr>
              <w:spacing w:line="314" w:lineRule="auto"/>
              <w:rPr>
                <w:rFonts w:ascii="Arial" w:hAnsi="Arial"/>
                <w:sz w:val="21"/>
              </w:rPr>
            </w:pPr>
          </w:p>
          <w:p w14:paraId="7C301758">
            <w:pPr>
              <w:pStyle w:val="15"/>
              <w:spacing w:before="46" w:line="214" w:lineRule="auto"/>
              <w:ind w:left="17" w:right="15"/>
              <w:jc w:val="both"/>
            </w:pPr>
            <w:r>
              <w:rPr>
                <w:spacing w:val="-1"/>
              </w:rPr>
              <w:t>进一步规范财经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秩序、严肃财经</w:t>
            </w:r>
            <w:r>
              <w:t xml:space="preserve"> </w:t>
            </w:r>
            <w:r>
              <w:rPr>
                <w:spacing w:val="6"/>
              </w:rPr>
              <w:t>纪律。</w:t>
            </w:r>
          </w:p>
        </w:tc>
        <w:tc>
          <w:tcPr>
            <w:tcW w:w="989" w:type="dxa"/>
          </w:tcPr>
          <w:p w14:paraId="3C7CF12C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5A446E67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7C3ABAC2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4EB396F1">
            <w:pPr>
              <w:pStyle w:val="15"/>
              <w:spacing w:before="45" w:line="182" w:lineRule="auto"/>
              <w:ind w:left="4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4" w:type="dxa"/>
          </w:tcPr>
          <w:p w14:paraId="516F4A4C">
            <w:pPr>
              <w:pStyle w:val="15"/>
              <w:spacing w:before="108" w:line="216" w:lineRule="auto"/>
              <w:ind w:left="19"/>
              <w:jc w:val="both"/>
            </w:pPr>
            <w:r>
              <w:rPr>
                <w:spacing w:val="-12"/>
              </w:rPr>
              <w:t>2023年度监督检查购买会计审计服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务经费子项目“公共资金大整治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>提升单位财务管理水平”专项整治</w:t>
            </w:r>
            <w:r>
              <w:t xml:space="preserve">  </w:t>
            </w:r>
            <w:r>
              <w:rPr>
                <w:spacing w:val="-11"/>
              </w:rPr>
              <w:t>行动跨年度进行，2023年12月底前</w:t>
            </w:r>
            <w:r>
              <w:t xml:space="preserve">  </w:t>
            </w:r>
            <w:r>
              <w:rPr>
                <w:spacing w:val="-14"/>
              </w:rPr>
              <w:t>完成现场检查工作，编制财政检查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工作底稿并取得被检查单位的签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证，形成征求意见函并与被检查单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位交换意见，逐项确认：2024年3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月底前完成检查报告、上报和后续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处理及下达处理处罚决定等工作。</w:t>
            </w:r>
          </w:p>
        </w:tc>
      </w:tr>
      <w:tr w14:paraId="79E7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47F71BD2"/>
        </w:tc>
        <w:tc>
          <w:tcPr>
            <w:tcW w:w="1069" w:type="dxa"/>
            <w:vMerge w:val="restart"/>
            <w:tcBorders>
              <w:bottom w:val="nil"/>
            </w:tcBorders>
          </w:tcPr>
          <w:p w14:paraId="773E6C12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78334392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5D09ADDA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18FE8B97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75A8A9BA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5C99C335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7AB0CCAC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242C68AE">
            <w:pPr>
              <w:spacing w:line="266" w:lineRule="auto"/>
              <w:rPr>
                <w:rFonts w:ascii="Arial" w:hAnsi="Arial"/>
                <w:sz w:val="21"/>
              </w:rPr>
            </w:pPr>
          </w:p>
          <w:p w14:paraId="577F3507">
            <w:pPr>
              <w:pStyle w:val="15"/>
              <w:spacing w:before="45" w:line="216" w:lineRule="auto"/>
              <w:ind w:left="38" w:right="4" w:hanging="19"/>
            </w:pPr>
            <w:r>
              <w:rPr>
                <w:spacing w:val="-2"/>
              </w:rPr>
              <w:t>10-其他事务/06-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机关运转保障</w:t>
            </w:r>
          </w:p>
        </w:tc>
        <w:tc>
          <w:tcPr>
            <w:tcW w:w="1619" w:type="dxa"/>
            <w:tcBorders>
              <w:left w:val="single" w:color="000000" w:sz="4" w:space="0"/>
            </w:tcBorders>
          </w:tcPr>
          <w:p w14:paraId="0CB75568">
            <w:pPr>
              <w:spacing w:line="310" w:lineRule="auto"/>
              <w:rPr>
                <w:rFonts w:ascii="Arial" w:hAnsi="Arial"/>
                <w:sz w:val="21"/>
              </w:rPr>
            </w:pPr>
          </w:p>
          <w:p w14:paraId="79AC00F1">
            <w:pPr>
              <w:pStyle w:val="15"/>
              <w:spacing w:before="46" w:line="214" w:lineRule="auto"/>
              <w:ind w:left="10" w:firstLine="9"/>
              <w:jc w:val="both"/>
            </w:pPr>
            <w:r>
              <w:rPr>
                <w:spacing w:val="-8"/>
              </w:rPr>
              <w:t>完成预算管理、国库管理、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政策管理、会计管理、财政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监督、国资管理等管理任务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78D4773B">
            <w:pPr>
              <w:spacing w:line="274" w:lineRule="auto"/>
              <w:rPr>
                <w:rFonts w:ascii="Arial" w:hAnsi="Arial"/>
                <w:sz w:val="21"/>
              </w:rPr>
            </w:pPr>
          </w:p>
          <w:p w14:paraId="03D5FBE2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7143A723">
            <w:pPr>
              <w:pStyle w:val="15"/>
              <w:spacing w:before="45" w:line="218" w:lineRule="auto"/>
              <w:ind w:left="31"/>
            </w:pPr>
            <w:r>
              <w:rPr>
                <w:spacing w:val="-2"/>
              </w:rPr>
              <w:t>产出指标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00340256">
            <w:pPr>
              <w:spacing w:line="274" w:lineRule="auto"/>
              <w:rPr>
                <w:rFonts w:ascii="Arial" w:hAnsi="Arial"/>
                <w:sz w:val="21"/>
              </w:rPr>
            </w:pPr>
          </w:p>
          <w:p w14:paraId="790AD772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7B6C992C">
            <w:pPr>
              <w:pStyle w:val="15"/>
              <w:spacing w:before="45" w:line="221" w:lineRule="auto"/>
              <w:ind w:left="32"/>
            </w:pPr>
            <w:r>
              <w:rPr>
                <w:spacing w:val="-2"/>
              </w:rPr>
              <w:t>质量指标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677B4DD5">
            <w:pPr>
              <w:spacing w:line="274" w:lineRule="auto"/>
              <w:rPr>
                <w:rFonts w:ascii="Arial" w:hAnsi="Arial"/>
                <w:sz w:val="21"/>
              </w:rPr>
            </w:pPr>
          </w:p>
          <w:p w14:paraId="46FBCB46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07C8D9EF">
            <w:pPr>
              <w:pStyle w:val="15"/>
              <w:spacing w:before="45" w:line="218" w:lineRule="auto"/>
              <w:ind w:left="13"/>
            </w:pPr>
            <w:r>
              <w:t>出现重大失误率。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33DF2342">
            <w:pPr>
              <w:spacing w:line="281" w:lineRule="auto"/>
              <w:rPr>
                <w:rFonts w:ascii="Arial" w:hAnsi="Arial"/>
                <w:sz w:val="21"/>
              </w:rPr>
            </w:pPr>
          </w:p>
          <w:p w14:paraId="223462EA">
            <w:pPr>
              <w:spacing w:line="281" w:lineRule="auto"/>
              <w:rPr>
                <w:rFonts w:ascii="Arial" w:hAnsi="Arial"/>
                <w:sz w:val="21"/>
              </w:rPr>
            </w:pPr>
          </w:p>
          <w:p w14:paraId="41ABA0A5">
            <w:pPr>
              <w:pStyle w:val="15"/>
              <w:spacing w:before="45" w:line="235" w:lineRule="auto"/>
              <w:ind w:left="25"/>
            </w:pPr>
            <w:r>
              <w:t>≤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4C5FB843">
            <w:pPr>
              <w:spacing w:line="293" w:lineRule="auto"/>
              <w:rPr>
                <w:rFonts w:ascii="Arial" w:hAnsi="Arial"/>
                <w:sz w:val="21"/>
              </w:rPr>
            </w:pPr>
          </w:p>
          <w:p w14:paraId="7D728BA2">
            <w:pPr>
              <w:spacing w:line="293" w:lineRule="auto"/>
              <w:rPr>
                <w:rFonts w:ascii="Arial" w:hAnsi="Arial"/>
                <w:sz w:val="21"/>
              </w:rPr>
            </w:pPr>
          </w:p>
          <w:p w14:paraId="7CBF5E90">
            <w:pPr>
              <w:pStyle w:val="15"/>
              <w:spacing w:before="45" w:line="185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296BD4D8">
            <w:pPr>
              <w:spacing w:line="281" w:lineRule="auto"/>
              <w:rPr>
                <w:rFonts w:ascii="Arial" w:hAnsi="Arial"/>
                <w:sz w:val="21"/>
              </w:rPr>
            </w:pPr>
          </w:p>
          <w:p w14:paraId="4B53C7D0">
            <w:pPr>
              <w:spacing w:line="281" w:lineRule="auto"/>
              <w:rPr>
                <w:rFonts w:ascii="Arial" w:hAnsi="Arial"/>
                <w:sz w:val="21"/>
              </w:rPr>
            </w:pPr>
          </w:p>
          <w:p w14:paraId="0AA66F55">
            <w:pPr>
              <w:pStyle w:val="15"/>
              <w:spacing w:before="45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7EFB3F88">
            <w:pPr>
              <w:pStyle w:val="15"/>
              <w:spacing w:before="259" w:line="182" w:lineRule="auto"/>
              <w:ind w:left="47"/>
            </w:pPr>
          </w:p>
          <w:p w14:paraId="599EAA6E">
            <w:pPr>
              <w:pStyle w:val="15"/>
              <w:spacing w:before="259" w:line="182" w:lineRule="auto"/>
              <w:ind w:left="47"/>
            </w:pPr>
          </w:p>
          <w:p w14:paraId="4EA3212E">
            <w:pPr>
              <w:pStyle w:val="15"/>
              <w:spacing w:before="259" w:line="182" w:lineRule="auto"/>
              <w:ind w:left="47"/>
            </w:pPr>
            <w:r>
              <w:t>10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314E99EE">
            <w:pPr>
              <w:spacing w:line="274" w:lineRule="auto"/>
              <w:rPr>
                <w:rFonts w:ascii="Arial" w:hAnsi="Arial"/>
                <w:sz w:val="21"/>
              </w:rPr>
            </w:pPr>
          </w:p>
          <w:p w14:paraId="37C112D2">
            <w:pPr>
              <w:spacing w:line="276" w:lineRule="auto"/>
              <w:rPr>
                <w:rFonts w:ascii="Arial" w:hAnsi="Arial"/>
                <w:sz w:val="21"/>
              </w:rPr>
            </w:pPr>
          </w:p>
          <w:p w14:paraId="02B5483A">
            <w:pPr>
              <w:pStyle w:val="15"/>
              <w:spacing w:before="45" w:line="221" w:lineRule="auto"/>
              <w:ind w:left="17"/>
            </w:pPr>
            <w:r>
              <w:rPr>
                <w:spacing w:val="-1"/>
              </w:rPr>
              <w:t>未出现重大失误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10544A10">
            <w:pPr>
              <w:spacing w:line="293" w:lineRule="auto"/>
              <w:rPr>
                <w:rFonts w:ascii="Arial" w:hAnsi="Arial"/>
                <w:sz w:val="21"/>
              </w:rPr>
            </w:pPr>
          </w:p>
          <w:p w14:paraId="630619C1">
            <w:pPr>
              <w:spacing w:line="293" w:lineRule="auto"/>
              <w:rPr>
                <w:rFonts w:ascii="Arial" w:hAnsi="Arial"/>
                <w:sz w:val="21"/>
              </w:rPr>
            </w:pPr>
          </w:p>
          <w:p w14:paraId="30F38910">
            <w:pPr>
              <w:pStyle w:val="15"/>
              <w:spacing w:before="45" w:line="185" w:lineRule="auto"/>
              <w:ind w:left="48"/>
            </w:pPr>
            <w:r>
              <w:rPr>
                <w:spacing w:val="-4"/>
              </w:rPr>
              <w:t>10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1E8EB3D1">
            <w:pPr>
              <w:rPr>
                <w:rFonts w:ascii="Arial" w:hAnsi="Arial"/>
                <w:sz w:val="21"/>
              </w:rPr>
            </w:pPr>
          </w:p>
        </w:tc>
      </w:tr>
      <w:tr w14:paraId="370F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7C237BDD"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 w14:paraId="734CD885"/>
        </w:tc>
        <w:tc>
          <w:tcPr>
            <w:tcW w:w="1619" w:type="dxa"/>
            <w:tcBorders>
              <w:left w:val="single" w:color="000000" w:sz="4" w:space="0"/>
            </w:tcBorders>
          </w:tcPr>
          <w:p w14:paraId="415C09D0">
            <w:pPr>
              <w:pStyle w:val="15"/>
              <w:spacing w:before="189" w:line="216" w:lineRule="auto"/>
              <w:ind w:left="10"/>
            </w:pPr>
            <w:r>
              <w:rPr>
                <w:spacing w:val="-7"/>
              </w:rPr>
              <w:t>在规定时间内圆满完成各项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管理工作。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5F8CEEFE">
            <w:pPr>
              <w:pStyle w:val="15"/>
              <w:spacing w:before="259" w:line="218" w:lineRule="auto"/>
              <w:ind w:left="31"/>
            </w:pPr>
            <w:r>
              <w:rPr>
                <w:spacing w:val="-2"/>
              </w:rPr>
              <w:t>产出指标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710D3155">
            <w:pPr>
              <w:pStyle w:val="15"/>
              <w:spacing w:before="260" w:line="221" w:lineRule="auto"/>
              <w:ind w:left="32"/>
            </w:pPr>
            <w:r>
              <w:rPr>
                <w:spacing w:val="-3"/>
              </w:rPr>
              <w:t>时效指标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60D39E7C">
            <w:pPr>
              <w:pStyle w:val="15"/>
              <w:spacing w:before="259" w:line="218" w:lineRule="auto"/>
              <w:ind w:left="13"/>
            </w:pPr>
            <w:r>
              <w:t>项目按期完成率。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49C07A72">
            <w:pPr>
              <w:pStyle w:val="15"/>
              <w:spacing w:before="273" w:line="238" w:lineRule="auto"/>
              <w:ind w:left="25"/>
            </w:pPr>
            <w:r>
              <w:t>≥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0D361714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23F4D079">
            <w:pPr>
              <w:pStyle w:val="15"/>
              <w:spacing w:before="46" w:line="182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2C252FDE">
            <w:pPr>
              <w:pStyle w:val="15"/>
              <w:spacing w:before="273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006BCB70">
            <w:pPr>
              <w:pStyle w:val="15"/>
              <w:spacing w:before="259" w:line="182" w:lineRule="auto"/>
              <w:ind w:left="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58CDA127">
            <w:pPr>
              <w:pStyle w:val="15"/>
              <w:spacing w:before="100" w:line="238" w:lineRule="auto"/>
              <w:ind w:left="17" w:right="15"/>
            </w:pPr>
            <w:r>
              <w:rPr>
                <w:spacing w:val="-1"/>
              </w:rPr>
              <w:t>在规定时间内圆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满完成各项工作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41923B32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50C9166C">
            <w:pPr>
              <w:pStyle w:val="15"/>
              <w:spacing w:before="46" w:line="182" w:lineRule="auto"/>
              <w:ind w:left="4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21FC26AD">
            <w:pPr>
              <w:pStyle w:val="15"/>
              <w:spacing w:before="109" w:line="223" w:lineRule="auto"/>
              <w:ind w:left="19" w:firstLine="20"/>
              <w:jc w:val="both"/>
            </w:pPr>
            <w:r>
              <w:rPr>
                <w:spacing w:val="-12"/>
              </w:rPr>
              <w:t>个别项目</w:t>
            </w:r>
            <w:r>
              <w:rPr>
                <w:spacing w:val="-11"/>
              </w:rPr>
              <w:t>因前期规划不足、政府</w:t>
            </w:r>
            <w:r>
              <w:rPr>
                <w:spacing w:val="-7"/>
              </w:rPr>
              <w:t>采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购程序</w:t>
            </w:r>
            <w:r>
              <w:rPr>
                <w:spacing w:val="-10"/>
              </w:rPr>
              <w:t>周期长等因素，全年预算</w:t>
            </w:r>
            <w:r>
              <w:rPr>
                <w:spacing w:val="-7"/>
              </w:rPr>
              <w:t>执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行进度不均衡。</w:t>
            </w:r>
          </w:p>
        </w:tc>
      </w:tr>
      <w:tr w14:paraId="581EA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12CC0932"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 w14:paraId="6CE8EE80"/>
        </w:tc>
        <w:tc>
          <w:tcPr>
            <w:tcW w:w="1619" w:type="dxa"/>
            <w:tcBorders>
              <w:left w:val="single" w:color="000000" w:sz="4" w:space="0"/>
            </w:tcBorders>
          </w:tcPr>
          <w:p w14:paraId="1B2454A8">
            <w:pPr>
              <w:pStyle w:val="15"/>
              <w:spacing w:before="90" w:line="230" w:lineRule="auto"/>
              <w:ind w:left="10" w:right="2"/>
            </w:pPr>
            <w:r>
              <w:rPr>
                <w:spacing w:val="-8"/>
              </w:rPr>
              <w:t>财政资金发挥效益并节约财</w:t>
            </w:r>
            <w:r>
              <w:rPr>
                <w:spacing w:val="10"/>
              </w:rPr>
              <w:t xml:space="preserve"> </w:t>
            </w:r>
            <w:r>
              <w:t>政资金。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538B1212">
            <w:pPr>
              <w:pStyle w:val="15"/>
              <w:spacing w:before="180" w:line="218" w:lineRule="auto"/>
              <w:ind w:left="31"/>
            </w:pPr>
            <w:r>
              <w:rPr>
                <w:spacing w:val="-2"/>
              </w:rPr>
              <w:t>产出指标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42723320">
            <w:pPr>
              <w:pStyle w:val="15"/>
              <w:spacing w:before="179" w:line="218" w:lineRule="auto"/>
              <w:ind w:left="32"/>
            </w:pPr>
            <w:r>
              <w:rPr>
                <w:spacing w:val="-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5C7EE5FF">
            <w:pPr>
              <w:pStyle w:val="15"/>
              <w:spacing w:before="180" w:line="218" w:lineRule="auto"/>
              <w:ind w:left="13"/>
            </w:pPr>
            <w:r>
              <w:t>不超预算实施。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3E2373ED">
            <w:pPr>
              <w:pStyle w:val="15"/>
              <w:spacing w:before="193" w:line="235" w:lineRule="auto"/>
              <w:ind w:left="25"/>
            </w:pPr>
            <w:r>
              <w:t>≤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25D46FCA">
            <w:pPr>
              <w:pStyle w:val="15"/>
              <w:spacing w:before="216" w:line="185" w:lineRule="auto"/>
              <w:ind w:left="25"/>
            </w:pPr>
            <w:r>
              <w:rPr>
                <w:rFonts w:hint="default"/>
                <w:spacing w:val="-2"/>
                <w:lang w:val="en-US"/>
              </w:rPr>
              <w:t>287.60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1B99083A">
            <w:pPr>
              <w:pStyle w:val="15"/>
              <w:spacing w:before="181" w:line="221" w:lineRule="auto"/>
              <w:ind w:left="36"/>
            </w:pPr>
            <w:r>
              <w:rPr>
                <w:spacing w:val="-3"/>
              </w:rPr>
              <w:t>万元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4D23ED36">
            <w:pPr>
              <w:pStyle w:val="15"/>
              <w:spacing w:before="259" w:line="182" w:lineRule="auto"/>
              <w:ind w:left="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50ECE708">
            <w:pPr>
              <w:pStyle w:val="15"/>
              <w:spacing w:before="120" w:line="216" w:lineRule="auto"/>
              <w:ind w:left="47" w:firstLine="39"/>
            </w:pPr>
            <w:r>
              <w:rPr>
                <w:spacing w:val="-4"/>
              </w:rPr>
              <w:t>预</w:t>
            </w:r>
            <w:r>
              <w:rPr>
                <w:rFonts w:hint="default"/>
                <w:spacing w:val="-1"/>
                <w:lang w:val="en-US"/>
              </w:rPr>
              <w:t>算</w:t>
            </w:r>
            <w:r>
              <w:rPr>
                <w:spacing w:val="-4"/>
              </w:rPr>
              <w:t>支出总额</w:t>
            </w:r>
            <w:r>
              <w:rPr>
                <w:rFonts w:hint="default"/>
                <w:spacing w:val="-1"/>
                <w:lang w:val="en-US"/>
              </w:rPr>
              <w:t>287.60</w:t>
            </w:r>
            <w:bookmarkStart w:id="0" w:name="_GoBack"/>
            <w:bookmarkEnd w:id="0"/>
            <w:r>
              <w:t xml:space="preserve"> </w:t>
            </w:r>
            <w:r>
              <w:rPr>
                <w:spacing w:val="-2"/>
              </w:rPr>
              <w:t>万元。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78D84093">
            <w:pPr>
              <w:pStyle w:val="15"/>
              <w:spacing w:before="217" w:line="182" w:lineRule="auto"/>
              <w:ind w:left="48"/>
            </w:pPr>
            <w: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51FB4B62">
            <w:pPr>
              <w:rPr>
                <w:rFonts w:ascii="Arial" w:hAnsi="Arial"/>
                <w:sz w:val="21"/>
              </w:rPr>
            </w:pPr>
          </w:p>
        </w:tc>
      </w:tr>
      <w:tr w14:paraId="761B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010A7FF1"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 w14:paraId="191AD2EF"/>
        </w:tc>
        <w:tc>
          <w:tcPr>
            <w:tcW w:w="1619" w:type="dxa"/>
            <w:tcBorders>
              <w:left w:val="single" w:color="000000" w:sz="4" w:space="0"/>
            </w:tcBorders>
          </w:tcPr>
          <w:p w14:paraId="14BD1FFC">
            <w:pPr>
              <w:pStyle w:val="15"/>
              <w:spacing w:before="109" w:line="218" w:lineRule="auto"/>
              <w:jc w:val="right"/>
            </w:pPr>
            <w:r>
              <w:rPr>
                <w:spacing w:val="-9"/>
              </w:rPr>
              <w:t>提高</w:t>
            </w:r>
            <w:r>
              <w:rPr>
                <w:spacing w:val="-8"/>
              </w:rPr>
              <w:t>干部职工的工作积极</w:t>
            </w:r>
            <w:r>
              <w:rPr>
                <w:spacing w:val="-6"/>
              </w:rPr>
              <w:t>性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3C1A48E8">
            <w:pPr>
              <w:pStyle w:val="15"/>
              <w:spacing w:before="191" w:line="221" w:lineRule="auto"/>
              <w:ind w:left="31"/>
            </w:pPr>
            <w:r>
              <w:rPr>
                <w:spacing w:val="-2"/>
              </w:rPr>
              <w:t>效益指标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36E2200B">
            <w:pPr>
              <w:pStyle w:val="15"/>
              <w:spacing w:before="189" w:line="218" w:lineRule="auto"/>
              <w:ind w:left="3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1BEE7A5E">
            <w:pPr>
              <w:pStyle w:val="15"/>
              <w:spacing w:before="110" w:line="257" w:lineRule="auto"/>
              <w:ind w:left="13"/>
            </w:pPr>
            <w:r>
              <w:rPr>
                <w:spacing w:val="-10"/>
              </w:rPr>
              <w:t>提高</w:t>
            </w:r>
            <w:r>
              <w:rPr>
                <w:spacing w:val="-9"/>
              </w:rPr>
              <w:t>于部职工的工作积</w:t>
            </w:r>
            <w:r>
              <w:rPr>
                <w:spacing w:val="-7"/>
              </w:rPr>
              <w:t>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性。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5E8818CE">
            <w:pPr>
              <w:pStyle w:val="15"/>
              <w:spacing w:before="191" w:line="221" w:lineRule="auto"/>
              <w:ind w:left="25"/>
            </w:pPr>
            <w:r>
              <w:rPr>
                <w:spacing w:val="-3"/>
              </w:rPr>
              <w:t>定性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551A9F06">
            <w:pPr>
              <w:pStyle w:val="15"/>
              <w:spacing w:before="189" w:line="218" w:lineRule="auto"/>
              <w:ind w:left="25"/>
            </w:pPr>
            <w:r>
              <w:rPr>
                <w:spacing w:val="-2"/>
              </w:rPr>
              <w:t>大幅度提升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4171429C">
            <w:pPr>
              <w:rPr>
                <w:rFonts w:ascii="Arial" w:hAnsi="Arial"/>
                <w:sz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694F6FDC">
            <w:pPr>
              <w:pStyle w:val="15"/>
              <w:spacing w:before="259" w:line="182" w:lineRule="auto"/>
              <w:ind w:left="47"/>
            </w:pPr>
            <w:r>
              <w:t>10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519C78D2">
            <w:pPr>
              <w:pStyle w:val="15"/>
              <w:spacing w:before="39" w:line="202" w:lineRule="auto"/>
              <w:ind w:left="17" w:right="17"/>
              <w:jc w:val="both"/>
            </w:pPr>
            <w:r>
              <w:rPr>
                <w:spacing w:val="-2"/>
              </w:rPr>
              <w:t>大幅度提升干部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职工的工作积极</w:t>
            </w:r>
            <w:r>
              <w:t xml:space="preserve"> </w:t>
            </w:r>
            <w:r>
              <w:rPr>
                <w:spacing w:val="5"/>
              </w:rPr>
              <w:t>性。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44D4BD4C">
            <w:pPr>
              <w:pStyle w:val="15"/>
              <w:spacing w:before="226" w:line="185" w:lineRule="auto"/>
              <w:ind w:left="48"/>
            </w:pPr>
            <w:r>
              <w:rPr>
                <w:spacing w:val="-4"/>
              </w:rPr>
              <w:t>10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2CCAC62E">
            <w:pPr>
              <w:rPr>
                <w:rFonts w:ascii="Arial" w:hAnsi="Arial"/>
                <w:sz w:val="21"/>
              </w:rPr>
            </w:pPr>
          </w:p>
        </w:tc>
      </w:tr>
      <w:tr w14:paraId="2E49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262B2BF0"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 w14:paraId="08B5F5C7"/>
        </w:tc>
        <w:tc>
          <w:tcPr>
            <w:tcW w:w="1619" w:type="dxa"/>
            <w:tcBorders>
              <w:left w:val="single" w:color="000000" w:sz="4" w:space="0"/>
            </w:tcBorders>
          </w:tcPr>
          <w:p w14:paraId="37D8D830">
            <w:pPr>
              <w:pStyle w:val="15"/>
              <w:spacing w:before="92" w:line="238" w:lineRule="auto"/>
              <w:ind w:left="10" w:right="2"/>
            </w:pPr>
            <w:r>
              <w:rPr>
                <w:spacing w:val="-8"/>
              </w:rPr>
              <w:t>保障我区财政事业健康稳健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发展。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4B55F190">
            <w:pPr>
              <w:pStyle w:val="15"/>
              <w:spacing w:before="182" w:line="221" w:lineRule="auto"/>
              <w:ind w:left="31"/>
            </w:pPr>
            <w:r>
              <w:rPr>
                <w:spacing w:val="-2"/>
              </w:rPr>
              <w:t>效益指标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7EB4DC7F">
            <w:pPr>
              <w:pStyle w:val="15"/>
              <w:spacing w:before="120" w:line="223" w:lineRule="auto"/>
              <w:ind w:left="32" w:right="32"/>
            </w:pPr>
            <w:r>
              <w:rPr>
                <w:spacing w:val="-2"/>
              </w:rPr>
              <w:t>可持续影响指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0ABD8AB2">
            <w:pPr>
              <w:pStyle w:val="15"/>
              <w:spacing w:before="111" w:line="228" w:lineRule="auto"/>
              <w:ind w:left="13"/>
            </w:pPr>
            <w:r>
              <w:rPr>
                <w:spacing w:val="-10"/>
              </w:rPr>
              <w:t>营造</w:t>
            </w:r>
            <w:r>
              <w:rPr>
                <w:spacing w:val="-9"/>
              </w:rPr>
              <w:t>“花钱必问效，无</w:t>
            </w:r>
            <w:r>
              <w:rPr>
                <w:spacing w:val="-7"/>
              </w:rPr>
              <w:t>效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必问责”的舆论氛围。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1AFA28E5">
            <w:pPr>
              <w:pStyle w:val="15"/>
              <w:spacing w:before="182" w:line="221" w:lineRule="auto"/>
              <w:ind w:left="25"/>
            </w:pPr>
            <w:r>
              <w:rPr>
                <w:spacing w:val="-3"/>
              </w:rPr>
              <w:t>定性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5D29197F">
            <w:pPr>
              <w:pStyle w:val="15"/>
              <w:spacing w:before="181" w:line="218" w:lineRule="auto"/>
              <w:ind w:left="25"/>
            </w:pPr>
            <w:r>
              <w:rPr>
                <w:spacing w:val="-2"/>
              </w:rPr>
              <w:t>持续影响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3438EB4E">
            <w:pPr>
              <w:rPr>
                <w:rFonts w:ascii="Arial" w:hAnsi="Arial"/>
                <w:sz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5D3F10ED">
            <w:pPr>
              <w:pStyle w:val="15"/>
              <w:spacing w:before="259" w:line="182" w:lineRule="auto"/>
              <w:ind w:left="47"/>
            </w:pPr>
            <w:r>
              <w:t>10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06077B21">
            <w:pPr>
              <w:pStyle w:val="15"/>
              <w:spacing w:before="53" w:line="192" w:lineRule="auto"/>
              <w:ind w:left="26" w:hanging="9"/>
              <w:jc w:val="both"/>
            </w:pPr>
            <w:r>
              <w:rPr>
                <w:spacing w:val="1"/>
              </w:rPr>
              <w:t>营造“花钱必问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效，无效必问责</w:t>
            </w:r>
            <w:r>
              <w:t xml:space="preserve"> </w:t>
            </w:r>
            <w:r>
              <w:rPr>
                <w:spacing w:val="6"/>
              </w:rPr>
              <w:t>”的舆论氛围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3FCEF99F">
            <w:pPr>
              <w:pStyle w:val="15"/>
              <w:spacing w:before="217" w:line="185" w:lineRule="auto"/>
              <w:ind w:left="48"/>
            </w:pPr>
            <w:r>
              <w:rPr>
                <w:spacing w:val="-4"/>
              </w:rPr>
              <w:t>10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7D0C9F53">
            <w:pPr>
              <w:rPr>
                <w:rFonts w:ascii="Arial" w:hAnsi="Arial"/>
                <w:sz w:val="21"/>
              </w:rPr>
            </w:pPr>
          </w:p>
        </w:tc>
      </w:tr>
      <w:tr w14:paraId="0224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169BD6D3"/>
        </w:tc>
        <w:tc>
          <w:tcPr>
            <w:tcW w:w="1069" w:type="dxa"/>
            <w:vMerge w:val="continue"/>
            <w:tcBorders>
              <w:top w:val="nil"/>
              <w:bottom w:val="nil"/>
            </w:tcBorders>
          </w:tcPr>
          <w:p w14:paraId="31834547"/>
        </w:tc>
        <w:tc>
          <w:tcPr>
            <w:tcW w:w="1619" w:type="dxa"/>
            <w:tcBorders>
              <w:left w:val="single" w:color="000000" w:sz="4" w:space="0"/>
            </w:tcBorders>
          </w:tcPr>
          <w:p w14:paraId="0D21198F">
            <w:pPr>
              <w:pStyle w:val="15"/>
              <w:spacing w:before="31" w:line="228" w:lineRule="auto"/>
              <w:ind w:left="10"/>
            </w:pPr>
            <w:r>
              <w:rPr>
                <w:spacing w:val="-8"/>
              </w:rPr>
              <w:t>保障于部职工的日常生产生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活需要，确保正常开展工作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448DB752">
            <w:pPr>
              <w:pStyle w:val="15"/>
              <w:spacing w:before="191" w:line="218" w:lineRule="auto"/>
              <w:ind w:left="107"/>
            </w:pPr>
            <w:r>
              <w:rPr>
                <w:spacing w:val="-1"/>
              </w:rPr>
              <w:t>满意度指标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0B6A2B6C">
            <w:pPr>
              <w:pStyle w:val="15"/>
              <w:spacing w:before="132" w:line="223" w:lineRule="auto"/>
              <w:ind w:left="32" w:right="31"/>
            </w:pPr>
            <w:r>
              <w:rPr>
                <w:spacing w:val="-1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4746EDF9">
            <w:pPr>
              <w:pStyle w:val="15"/>
              <w:spacing w:before="121" w:line="223" w:lineRule="auto"/>
              <w:ind w:left="13"/>
            </w:pPr>
            <w:r>
              <w:rPr>
                <w:spacing w:val="-9"/>
              </w:rPr>
              <w:t>得到全厅干部职工的高度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认可。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5E318231">
            <w:pPr>
              <w:pStyle w:val="15"/>
              <w:spacing w:before="205" w:line="238" w:lineRule="auto"/>
              <w:ind w:left="25"/>
            </w:pPr>
            <w:r>
              <w:t>≥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40C9DA88">
            <w:pPr>
              <w:pStyle w:val="15"/>
              <w:spacing w:before="227" w:line="182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2268B600">
            <w:pPr>
              <w:pStyle w:val="15"/>
              <w:spacing w:before="205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660DCE20">
            <w:pPr>
              <w:pStyle w:val="15"/>
              <w:spacing w:before="259" w:line="182" w:lineRule="auto"/>
              <w:ind w:left="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5A23AEE8">
            <w:pPr>
              <w:pStyle w:val="15"/>
              <w:spacing w:before="227" w:line="182" w:lineRule="auto"/>
              <w:ind w:left="17"/>
            </w:pPr>
            <w:r>
              <w:rPr>
                <w:spacing w:val="-2"/>
              </w:rPr>
              <w:t>95%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47E4F583">
            <w:pPr>
              <w:pStyle w:val="15"/>
              <w:spacing w:before="228" w:line="182" w:lineRule="auto"/>
              <w:ind w:left="48"/>
            </w:pPr>
            <w: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72C6A3B4">
            <w:pPr>
              <w:rPr>
                <w:rFonts w:ascii="Arial" w:hAnsi="Arial"/>
                <w:sz w:val="21"/>
              </w:rPr>
            </w:pPr>
          </w:p>
        </w:tc>
      </w:tr>
      <w:tr w14:paraId="3D388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56A0C1F6"/>
        </w:tc>
        <w:tc>
          <w:tcPr>
            <w:tcW w:w="1069" w:type="dxa"/>
            <w:vMerge w:val="continue"/>
            <w:tcBorders>
              <w:top w:val="nil"/>
            </w:tcBorders>
          </w:tcPr>
          <w:p w14:paraId="090BBFA6"/>
        </w:tc>
        <w:tc>
          <w:tcPr>
            <w:tcW w:w="1619" w:type="dxa"/>
            <w:tcBorders>
              <w:left w:val="single" w:color="000000" w:sz="4" w:space="0"/>
            </w:tcBorders>
          </w:tcPr>
          <w:p w14:paraId="6411CD1A">
            <w:pPr>
              <w:pStyle w:val="15"/>
              <w:spacing w:before="12" w:line="214" w:lineRule="auto"/>
              <w:ind w:left="10"/>
              <w:jc w:val="both"/>
            </w:pPr>
            <w:r>
              <w:rPr>
                <w:spacing w:val="-7"/>
              </w:rPr>
              <w:t>完成预算管理、国库管理、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政策管理、会计管理、财政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监督、国资管理等管理任务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2D47B3BF">
            <w:pPr>
              <w:pStyle w:val="15"/>
              <w:spacing w:before="222" w:line="218" w:lineRule="auto"/>
              <w:ind w:left="3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34951868">
            <w:pPr>
              <w:pStyle w:val="15"/>
              <w:spacing w:before="152" w:line="216" w:lineRule="auto"/>
              <w:ind w:left="32" w:right="41" w:hanging="10"/>
            </w:pPr>
            <w:r>
              <w:rPr>
                <w:spacing w:val="-1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6AA2A98B">
            <w:pPr>
              <w:pStyle w:val="15"/>
              <w:spacing w:before="222" w:line="218" w:lineRule="auto"/>
              <w:ind w:left="13"/>
            </w:pPr>
            <w:r>
              <w:t>受益对象满意度。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4BB25F5A">
            <w:pPr>
              <w:pStyle w:val="15"/>
              <w:spacing w:before="236" w:line="238" w:lineRule="auto"/>
              <w:ind w:left="25"/>
            </w:pPr>
            <w:r>
              <w:t>≥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66C94F58">
            <w:pPr>
              <w:pStyle w:val="15"/>
              <w:spacing w:before="258" w:line="182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79D6AB4C">
            <w:pPr>
              <w:pStyle w:val="15"/>
              <w:spacing w:before="236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2C9EE1BA">
            <w:pPr>
              <w:pStyle w:val="15"/>
              <w:spacing w:before="259" w:line="182" w:lineRule="auto"/>
              <w:ind w:left="47"/>
            </w:pPr>
            <w: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61F0FAE0">
            <w:pPr>
              <w:pStyle w:val="15"/>
              <w:spacing w:before="258" w:line="182" w:lineRule="auto"/>
              <w:ind w:left="17"/>
            </w:pPr>
            <w:r>
              <w:rPr>
                <w:spacing w:val="-2"/>
              </w:rPr>
              <w:t>95%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326F92C8">
            <w:pPr>
              <w:pStyle w:val="15"/>
              <w:spacing w:before="259" w:line="182" w:lineRule="auto"/>
              <w:ind w:left="48"/>
            </w:pPr>
            <w: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26F4C309">
            <w:pPr>
              <w:rPr>
                <w:rFonts w:ascii="Arial" w:hAnsi="Arial"/>
                <w:sz w:val="21"/>
              </w:rPr>
            </w:pPr>
          </w:p>
        </w:tc>
      </w:tr>
      <w:tr w14:paraId="7E01F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</w:tcPr>
          <w:p w14:paraId="469DB5A5"/>
        </w:tc>
        <w:tc>
          <w:tcPr>
            <w:tcW w:w="1069" w:type="dxa"/>
            <w:vMerge w:val="restart"/>
            <w:tcBorders>
              <w:bottom w:val="nil"/>
            </w:tcBorders>
          </w:tcPr>
          <w:p w14:paraId="31240254">
            <w:pPr>
              <w:spacing w:line="314" w:lineRule="auto"/>
              <w:rPr>
                <w:rFonts w:ascii="Arial" w:hAnsi="Arial"/>
                <w:sz w:val="21"/>
              </w:rPr>
            </w:pPr>
          </w:p>
          <w:p w14:paraId="752C9448">
            <w:pPr>
              <w:pStyle w:val="15"/>
              <w:spacing w:before="46" w:line="214" w:lineRule="auto"/>
              <w:ind w:left="39" w:right="4"/>
              <w:jc w:val="both"/>
            </w:pPr>
            <w:r>
              <w:rPr>
                <w:spacing w:val="-4"/>
              </w:rPr>
              <w:t>07-会计管理/03-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全区财务会计人</w:t>
            </w:r>
            <w:r>
              <w:t xml:space="preserve"> </w:t>
            </w:r>
            <w:r>
              <w:rPr>
                <w:spacing w:val="-2"/>
              </w:rPr>
              <w:t>员能力建设</w:t>
            </w:r>
          </w:p>
        </w:tc>
        <w:tc>
          <w:tcPr>
            <w:tcW w:w="1619" w:type="dxa"/>
            <w:tcBorders>
              <w:left w:val="single" w:color="000000" w:sz="4" w:space="0"/>
            </w:tcBorders>
          </w:tcPr>
          <w:p w14:paraId="4474F8BC">
            <w:pPr>
              <w:pStyle w:val="15"/>
              <w:spacing w:before="122" w:line="218" w:lineRule="auto"/>
              <w:ind w:left="10" w:right="1"/>
              <w:jc w:val="both"/>
            </w:pPr>
            <w:r>
              <w:rPr>
                <w:spacing w:val="-8"/>
              </w:rPr>
              <w:t>加强行政企事业单位党风廉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政建设、内部控制，提高风</w:t>
            </w:r>
            <w:r>
              <w:t xml:space="preserve"> 险风控意识。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589CD721">
            <w:pPr>
              <w:pStyle w:val="15"/>
              <w:spacing w:before="263" w:line="218" w:lineRule="auto"/>
              <w:ind w:left="31"/>
            </w:pPr>
            <w:r>
              <w:rPr>
                <w:spacing w:val="-2"/>
              </w:rPr>
              <w:t>产出指标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4DDA18EC">
            <w:pPr>
              <w:pStyle w:val="15"/>
              <w:spacing w:before="264" w:line="221" w:lineRule="auto"/>
              <w:ind w:left="32"/>
            </w:pPr>
            <w:r>
              <w:rPr>
                <w:spacing w:val="-2"/>
              </w:rPr>
              <w:t>效果指标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5314944F">
            <w:pPr>
              <w:pStyle w:val="15"/>
              <w:spacing w:before="263" w:line="218" w:lineRule="auto"/>
              <w:ind w:left="13"/>
            </w:pPr>
            <w:r>
              <w:t>综合能力提升。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54DFA2AD">
            <w:pPr>
              <w:pStyle w:val="15"/>
              <w:spacing w:before="277" w:line="238" w:lineRule="auto"/>
              <w:ind w:left="25"/>
            </w:pPr>
            <w:r>
              <w:t>≥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55860D01">
            <w:pPr>
              <w:spacing w:line="252" w:lineRule="auto"/>
              <w:rPr>
                <w:rFonts w:ascii="Arial" w:hAnsi="Arial"/>
                <w:sz w:val="21"/>
              </w:rPr>
            </w:pPr>
          </w:p>
          <w:p w14:paraId="21F1A7FE">
            <w:pPr>
              <w:pStyle w:val="15"/>
              <w:spacing w:before="46" w:line="182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2FAF8165">
            <w:pPr>
              <w:pStyle w:val="15"/>
              <w:spacing w:before="277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399A7960">
            <w:pPr>
              <w:spacing w:line="252" w:lineRule="auto"/>
              <w:rPr>
                <w:rFonts w:ascii="Arial" w:hAnsi="Arial"/>
                <w:sz w:val="21"/>
              </w:rPr>
            </w:pPr>
          </w:p>
          <w:p w14:paraId="638F80F0">
            <w:pPr>
              <w:pStyle w:val="15"/>
              <w:spacing w:before="46" w:line="182" w:lineRule="auto"/>
              <w:ind w:left="47"/>
            </w:pPr>
            <w: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00D3BB14">
            <w:pPr>
              <w:spacing w:line="252" w:lineRule="auto"/>
              <w:rPr>
                <w:rFonts w:ascii="Arial" w:hAnsi="Arial"/>
                <w:sz w:val="21"/>
              </w:rPr>
            </w:pPr>
          </w:p>
          <w:p w14:paraId="4E4E1916">
            <w:pPr>
              <w:pStyle w:val="15"/>
              <w:spacing w:before="46" w:line="182" w:lineRule="auto"/>
              <w:ind w:left="27"/>
            </w:pPr>
            <w:r>
              <w:rPr>
                <w:spacing w:val="-2"/>
              </w:rPr>
              <w:t>98%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6012E45B">
            <w:pPr>
              <w:spacing w:line="252" w:lineRule="auto"/>
              <w:rPr>
                <w:rFonts w:ascii="Arial" w:hAnsi="Arial"/>
                <w:sz w:val="21"/>
              </w:rPr>
            </w:pPr>
          </w:p>
          <w:p w14:paraId="339F8EAC">
            <w:pPr>
              <w:pStyle w:val="15"/>
              <w:spacing w:before="46" w:line="182" w:lineRule="auto"/>
              <w:ind w:left="48"/>
            </w:pPr>
            <w: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44B1C0E1">
            <w:pPr>
              <w:rPr>
                <w:rFonts w:ascii="Arial" w:hAnsi="Arial"/>
                <w:sz w:val="21"/>
              </w:rPr>
            </w:pPr>
          </w:p>
        </w:tc>
      </w:tr>
      <w:tr w14:paraId="5EFF1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</w:tcPr>
          <w:p w14:paraId="662E8FE5"/>
        </w:tc>
        <w:tc>
          <w:tcPr>
            <w:tcW w:w="1069" w:type="dxa"/>
            <w:vMerge w:val="continue"/>
            <w:tcBorders>
              <w:top w:val="nil"/>
            </w:tcBorders>
          </w:tcPr>
          <w:p w14:paraId="03C00597"/>
        </w:tc>
        <w:tc>
          <w:tcPr>
            <w:tcW w:w="1619" w:type="dxa"/>
            <w:tcBorders>
              <w:left w:val="single" w:color="000000" w:sz="4" w:space="0"/>
            </w:tcBorders>
          </w:tcPr>
          <w:p w14:paraId="101FBA99">
            <w:pPr>
              <w:pStyle w:val="15"/>
              <w:spacing w:before="104" w:line="240" w:lineRule="auto"/>
              <w:ind w:left="10"/>
            </w:pPr>
            <w:r>
              <w:rPr>
                <w:spacing w:val="-7"/>
              </w:rPr>
              <w:t>全区财务人员会计专业能力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提升培训。</w:t>
            </w:r>
          </w:p>
        </w:tc>
        <w:tc>
          <w:tcPr>
            <w:tcW w:w="899" w:type="dxa"/>
            <w:tcBorders>
              <w:left w:val="single" w:color="000000" w:sz="4" w:space="0"/>
            </w:tcBorders>
          </w:tcPr>
          <w:p w14:paraId="18C4E2A4">
            <w:pPr>
              <w:pStyle w:val="15"/>
              <w:spacing w:before="195" w:line="221" w:lineRule="auto"/>
              <w:ind w:left="31"/>
            </w:pPr>
            <w:r>
              <w:rPr>
                <w:spacing w:val="-2"/>
              </w:rPr>
              <w:t>效益指标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1F2C44C2">
            <w:pPr>
              <w:pStyle w:val="15"/>
              <w:spacing w:before="193" w:line="218" w:lineRule="auto"/>
              <w:ind w:left="32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469" w:type="dxa"/>
            <w:tcBorders>
              <w:left w:val="single" w:color="000000" w:sz="4" w:space="0"/>
            </w:tcBorders>
          </w:tcPr>
          <w:p w14:paraId="127C10E4">
            <w:pPr>
              <w:pStyle w:val="15"/>
              <w:spacing w:before="194" w:line="218" w:lineRule="auto"/>
              <w:jc w:val="right"/>
            </w:pPr>
            <w:r>
              <w:rPr>
                <w:spacing w:val="-10"/>
              </w:rPr>
              <w:t>各单</w:t>
            </w:r>
            <w:r>
              <w:rPr>
                <w:spacing w:val="-9"/>
              </w:rPr>
              <w:t>位财务工作质量提</w:t>
            </w:r>
            <w:r>
              <w:rPr>
                <w:spacing w:val="-7"/>
              </w:rPr>
              <w:t>高</w:t>
            </w:r>
          </w:p>
        </w:tc>
        <w:tc>
          <w:tcPr>
            <w:tcW w:w="909" w:type="dxa"/>
            <w:tcBorders>
              <w:left w:val="single" w:color="000000" w:sz="4" w:space="0"/>
            </w:tcBorders>
          </w:tcPr>
          <w:p w14:paraId="4A9522B4">
            <w:pPr>
              <w:pStyle w:val="15"/>
              <w:spacing w:before="208" w:line="238" w:lineRule="auto"/>
              <w:ind w:left="25"/>
            </w:pPr>
            <w:r>
              <w:t>≥</w:t>
            </w:r>
          </w:p>
        </w:tc>
        <w:tc>
          <w:tcPr>
            <w:tcW w:w="829" w:type="dxa"/>
            <w:tcBorders>
              <w:left w:val="single" w:color="000000" w:sz="4" w:space="0"/>
            </w:tcBorders>
          </w:tcPr>
          <w:p w14:paraId="6661E69E">
            <w:pPr>
              <w:pStyle w:val="15"/>
              <w:spacing w:before="230" w:line="182" w:lineRule="auto"/>
              <w:ind w:left="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09" w:type="dxa"/>
            <w:tcBorders>
              <w:left w:val="single" w:color="000000" w:sz="4" w:space="0"/>
            </w:tcBorders>
          </w:tcPr>
          <w:p w14:paraId="4F22825E">
            <w:pPr>
              <w:pStyle w:val="15"/>
              <w:spacing w:before="208"/>
              <w:ind w:left="36"/>
            </w:pPr>
            <w:r>
              <w:t>%</w:t>
            </w:r>
          </w:p>
        </w:tc>
        <w:tc>
          <w:tcPr>
            <w:tcW w:w="1010" w:type="dxa"/>
            <w:tcBorders>
              <w:left w:val="single" w:color="000000" w:sz="4" w:space="0"/>
            </w:tcBorders>
          </w:tcPr>
          <w:p w14:paraId="10F1A546">
            <w:pPr>
              <w:pStyle w:val="15"/>
              <w:spacing w:before="231" w:line="182" w:lineRule="auto"/>
              <w:ind w:left="47"/>
            </w:pPr>
            <w:r>
              <w:t>5</w:t>
            </w:r>
          </w:p>
        </w:tc>
        <w:tc>
          <w:tcPr>
            <w:tcW w:w="1019" w:type="dxa"/>
            <w:tcBorders>
              <w:left w:val="single" w:color="000000" w:sz="4" w:space="0"/>
            </w:tcBorders>
          </w:tcPr>
          <w:p w14:paraId="389880AF">
            <w:pPr>
              <w:pStyle w:val="15"/>
              <w:spacing w:before="230" w:line="182" w:lineRule="auto"/>
              <w:ind w:left="38"/>
            </w:pPr>
            <w:r>
              <w:rPr>
                <w:spacing w:val="-2"/>
              </w:rPr>
              <w:t>50%</w:t>
            </w:r>
          </w:p>
        </w:tc>
        <w:tc>
          <w:tcPr>
            <w:tcW w:w="989" w:type="dxa"/>
            <w:tcBorders>
              <w:left w:val="single" w:color="000000" w:sz="4" w:space="0"/>
            </w:tcBorders>
          </w:tcPr>
          <w:p w14:paraId="59845138">
            <w:pPr>
              <w:pStyle w:val="15"/>
              <w:spacing w:before="231" w:line="182" w:lineRule="auto"/>
              <w:ind w:left="48"/>
            </w:pPr>
            <w:r>
              <w:t>5</w:t>
            </w:r>
          </w:p>
        </w:tc>
        <w:tc>
          <w:tcPr>
            <w:tcW w:w="1994" w:type="dxa"/>
            <w:tcBorders>
              <w:left w:val="single" w:color="000000" w:sz="4" w:space="0"/>
            </w:tcBorders>
          </w:tcPr>
          <w:p w14:paraId="127AEC3E">
            <w:pPr>
              <w:rPr>
                <w:rFonts w:ascii="Arial" w:hAnsi="Arial"/>
                <w:sz w:val="21"/>
              </w:rPr>
            </w:pPr>
          </w:p>
        </w:tc>
      </w:tr>
      <w:tr w14:paraId="62D2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</w:tcPr>
          <w:p w14:paraId="6CC9ED27">
            <w:pPr>
              <w:pStyle w:val="15"/>
              <w:spacing w:before="125" w:line="218" w:lineRule="auto"/>
              <w:ind w:left="14"/>
            </w:pPr>
            <w:r>
              <w:rPr>
                <w:spacing w:val="3"/>
              </w:rPr>
              <w:t>其他说明</w:t>
            </w:r>
          </w:p>
        </w:tc>
        <w:tc>
          <w:tcPr>
            <w:tcW w:w="13724" w:type="dxa"/>
            <w:gridSpan w:val="12"/>
            <w:tcBorders>
              <w:left w:val="single" w:color="000000" w:sz="4" w:space="0"/>
            </w:tcBorders>
          </w:tcPr>
          <w:p w14:paraId="52A70A3C">
            <w:pPr>
              <w:rPr>
                <w:rFonts w:ascii="Arial" w:hAnsi="Arial"/>
                <w:sz w:val="21"/>
              </w:rPr>
            </w:pPr>
          </w:p>
        </w:tc>
      </w:tr>
    </w:tbl>
    <w:p w14:paraId="6B67BA87">
      <w:pPr>
        <w:rPr>
          <w:rFonts w:ascii="Arial" w:hAnsi="Arial"/>
          <w:sz w:val="21"/>
        </w:rPr>
      </w:pPr>
    </w:p>
    <w:p w14:paraId="7B86CA3C">
      <w:pPr>
        <w:rPr>
          <w:rFonts w:ascii="Arial" w:hAnsi="Arial" w:eastAsia="Arial" w:cs="Arial"/>
          <w:sz w:val="21"/>
          <w:szCs w:val="21"/>
        </w:rPr>
        <w:sectPr>
          <w:pgSz w:w="16460" w:h="11920"/>
          <w:pgMar w:top="1013" w:right="1124" w:bottom="400" w:left="985" w:header="0" w:footer="0" w:gutter="0"/>
          <w:cols w:space="720" w:num="1"/>
          <w:docGrid w:linePitch="312" w:charSpace="0"/>
        </w:sectPr>
      </w:pPr>
    </w:p>
    <w:p w14:paraId="5D7CAC3D">
      <w:pPr>
        <w:rPr>
          <w:rFonts w:ascii="Arial" w:hAnsi="Arial"/>
          <w:sz w:val="21"/>
        </w:rPr>
      </w:pPr>
    </w:p>
    <w:sectPr>
      <w:pgSz w:w="11940" w:h="16480"/>
      <w:pgMar w:top="1035" w:right="605" w:bottom="400" w:left="224" w:header="0" w:footer="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8CE94">
    <w:pPr>
      <w:spacing w:line="178" w:lineRule="auto"/>
      <w:ind w:left="403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9E09">
    <w:pPr>
      <w:spacing w:line="14" w:lineRule="auto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cwNzkyYTg0ZDc0MjY1NzgyZmQ0MzExMjE4NTRmYWIifQ=="/>
  </w:docVars>
  <w:rsids>
    <w:rsidRoot w:val="00000000"/>
    <w:rsid w:val="5CCA5F9C"/>
    <w:rsid w:val="7C73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adjustRightInd w:val="0"/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adjustRightInd w:val="0"/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heading 1 Char"/>
    <w:basedOn w:val="10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0"/>
    <w:link w:val="3"/>
    <w:qFormat/>
    <w:uiPriority w:val="0"/>
    <w:rPr>
      <w:rFonts w:ascii="Times New Roman" w:hAnsi="Times New Roman" w:eastAsia="黑体" w:cs="Arial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character" w:customStyle="1" w:styleId="14">
    <w:name w:val="heading 3 Char"/>
    <w:basedOn w:val="10"/>
    <w:link w:val="4"/>
    <w:qFormat/>
    <w:uiPriority w:val="0"/>
    <w:rPr>
      <w:rFonts w:ascii="Arial" w:hAnsi="Arial" w:eastAsia="Arial" w:cs="Arial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paragraph" w:customStyle="1" w:styleId="15">
    <w:name w:val="Table Text"/>
    <w:basedOn w:val="1"/>
    <w:qFormat/>
    <w:uiPriority w:val="0"/>
    <w:rPr>
      <w:rFonts w:ascii="宋体" w:hAnsi="宋体" w:eastAsia="宋体" w:cs="宋体"/>
      <w:sz w:val="14"/>
      <w:szCs w:val="1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06215E1D-D4C8-418D-A1B7-5851F02C3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3135</Words>
  <Characters>3324</Characters>
  <Lines>0</Lines>
  <Paragraphs>44</Paragraphs>
  <TotalTime>1</TotalTime>
  <ScaleCrop>false</ScaleCrop>
  <LinksUpToDate>false</LinksUpToDate>
  <CharactersWithSpaces>3439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2024-10-30T16:01:00Z</dcterms:created>
  <dc:creator>Kingsoft-PDF</dc:creator>
  <cp:lastModifiedBy>Lenovo</cp:lastModifiedBy>
  <cp:lastPrinted>2024-11-01T04:03:00Z</cp:lastPrinted>
  <dcterms:modified xsi:type="dcterms:W3CDTF">2024-11-04T03:40:02Z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2024-10-30T16:00:00Z</vt:filetime>
  </property>
  <property fmtid="{D5CDD505-2E9C-101B-9397-08002B2CF9AE}" pid="4" name="UsrData">
    <vt:lpwstr>6721e7ea564c68001f3a45acwl</vt:lpwstr>
  </property>
  <property fmtid="{D5CDD505-2E9C-101B-9397-08002B2CF9AE}" pid="5" name="KSOProductBuildVer">
    <vt:lpwstr>2052-12.1.0.17857</vt:lpwstr>
  </property>
  <property fmtid="{D5CDD505-2E9C-101B-9397-08002B2CF9AE}" pid="6" name="ICV">
    <vt:lpwstr>8C98C3C2FEC64086AEA80E297C2918C2_12</vt:lpwstr>
  </property>
</Properties>
</file>