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110" w:line="223" w:lineRule="auto"/>
        <w:ind w:left="4"/>
        <w:rPr>
          <w:rFonts w:ascii="黑体" w:eastAsia="黑体" w:cs="黑体" w:hAnsi="黑体"/>
          <w:sz w:val="34"/>
          <w:szCs w:val="34"/>
        </w:rPr>
      </w:pPr>
      <w:r>
        <w:rPr>
          <w:rFonts w:ascii="黑体" w:eastAsia="黑体" w:cs="黑体" w:hAnsi="黑体"/>
          <w:b/>
          <w:bCs/>
          <w:spacing w:val="-1"/>
          <w:sz w:val="34"/>
          <w:szCs w:val="34"/>
        </w:rPr>
        <w:t>附件2</w:t>
      </w:r>
    </w:p>
    <w:p>
      <w:pPr>
        <w:spacing w:before="192" w:line="218" w:lineRule="auto"/>
        <w:ind w:left="2326"/>
        <w:rPr>
          <w:rFonts w:ascii="宋体" w:eastAsia="宋体" w:cs="宋体" w:hAnsi="宋体"/>
          <w:sz w:val="45"/>
          <w:szCs w:val="45"/>
        </w:rPr>
      </w:pPr>
      <w:r>
        <w:rPr>
          <w:rFonts w:ascii="宋体" w:eastAsia="宋体" w:cs="宋体" w:hAnsi="宋体"/>
          <w:b/>
          <w:bCs/>
          <w:spacing w:val="-13"/>
          <w:sz w:val="45"/>
          <w:szCs w:val="45"/>
        </w:rPr>
        <w:t>整体支出绩效自评报告</w:t>
      </w:r>
    </w:p>
    <w:p>
      <w:pPr>
        <w:spacing w:before="275" w:line="226" w:lineRule="auto"/>
        <w:ind w:left="3714"/>
        <w:rPr>
          <w:rFonts w:ascii="楷体" w:eastAsia="楷体" w:cs="楷体" w:hAnsi="楷体"/>
          <w:sz w:val="34"/>
          <w:szCs w:val="34"/>
        </w:rPr>
      </w:pPr>
      <w:r>
        <w:rPr>
          <w:rFonts w:ascii="楷体" w:eastAsia="楷体" w:cs="楷体" w:hAnsi="楷体"/>
          <w:b/>
          <w:bCs/>
          <w:spacing w:val="-4"/>
          <w:sz w:val="34"/>
          <w:szCs w:val="34"/>
        </w:rPr>
        <w:t>(2023年度)</w:t>
      </w: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before="110" w:line="221" w:lineRule="auto"/>
        <w:ind w:left="754"/>
        <w:outlineLvl w:val="0"/>
        <w:rPr>
          <w:rFonts w:ascii="黑体" w:eastAsia="黑体" w:cs="黑体" w:hAnsi="黑体"/>
          <w:sz w:val="34"/>
          <w:szCs w:val="34"/>
        </w:rPr>
      </w:pPr>
      <w:r>
        <w:rPr>
          <w:rFonts w:ascii="黑体" w:eastAsia="黑体" w:cs="黑体" w:hAnsi="黑体"/>
          <w:b/>
          <w:bCs/>
          <w:spacing w:val="-23"/>
          <w:sz w:val="34"/>
          <w:szCs w:val="34"/>
        </w:rPr>
        <w:t>一、部门概况</w:t>
      </w:r>
    </w:p>
    <w:p>
      <w:pPr>
        <w:spacing w:before="178" w:line="300" w:lineRule="auto"/>
        <w:ind w:firstLine="909"/>
        <w:rPr>
          <w:rFonts w:ascii="楷体" w:eastAsia="楷体" w:cs="楷体" w:hAnsi="楷体"/>
          <w:sz w:val="34"/>
          <w:szCs w:val="34"/>
        </w:rPr>
      </w:pPr>
      <w:r>
        <w:rPr>
          <w:rFonts w:ascii="楷体" w:eastAsia="楷体" w:cs="楷体" w:hAnsi="楷体"/>
          <w:spacing w:val="-8"/>
          <w:sz w:val="34"/>
          <w:szCs w:val="34"/>
        </w:rPr>
        <w:t>(一)部门主要职责职能，组织架构、人员及资产等</w:t>
      </w:r>
      <w:r>
        <w:rPr>
          <w:rFonts w:ascii="楷体" w:eastAsia="楷体" w:cs="楷体" w:hAnsi="楷体"/>
          <w:spacing w:val="-9"/>
          <w:sz w:val="34"/>
          <w:szCs w:val="34"/>
        </w:rPr>
        <w:t>基本</w:t>
      </w:r>
      <w:r>
        <w:rPr>
          <w:rFonts w:ascii="楷体" w:eastAsia="楷体" w:cs="楷体" w:hAnsi="楷体"/>
          <w:sz w:val="34"/>
          <w:szCs w:val="34"/>
        </w:rPr>
        <w:t xml:space="preserve"> </w:t>
      </w:r>
      <w:r>
        <w:rPr>
          <w:rFonts w:ascii="楷体" w:eastAsia="楷体" w:cs="楷体" w:hAnsi="楷体"/>
          <w:spacing w:val="-25"/>
          <w:sz w:val="34"/>
          <w:szCs w:val="34"/>
        </w:rPr>
        <w:t>情况。</w:t>
      </w:r>
    </w:p>
    <w:p>
      <w:pPr>
        <w:spacing w:line="578" w:lineRule="exact"/>
        <w:ind w:firstLineChars="250" w:firstLine="800"/>
        <w:rPr>
          <w:rFonts w:ascii="仿宋_GB2312" w:eastAsia="仿宋_GB2312" w:hAnsi="ˎ̥"/>
          <w:sz w:val="32"/>
          <w:szCs w:val="32"/>
        </w:rPr>
      </w:pPr>
      <w:r>
        <w:rPr>
          <w:rFonts w:ascii="仿宋_GB2312" w:eastAsia="仿宋_GB2312" w:hAnsi="ˎ̥"/>
          <w:sz w:val="32"/>
          <w:szCs w:val="32"/>
        </w:rPr>
        <w:t>(1）贯彻执行党的宗教工作基本方针和国家管理宗教事务法律法规。</w:t>
      </w:r>
    </w:p>
    <w:p>
      <w:pPr>
        <w:spacing w:line="578" w:lineRule="exact"/>
        <w:ind w:firstLineChars="200" w:firstLine="640"/>
        <w:rPr>
          <w:rFonts w:ascii="仿宋_GB2312" w:eastAsia="仿宋_GB2312" w:hAnsi="ˎ̥"/>
          <w:sz w:val="32"/>
          <w:szCs w:val="32"/>
        </w:rPr>
      </w:pPr>
      <w:r>
        <w:rPr>
          <w:rFonts w:ascii="仿宋_GB2312" w:eastAsia="仿宋_GB2312" w:hAnsi="ˎ̥"/>
          <w:sz w:val="32"/>
          <w:szCs w:val="32"/>
        </w:rPr>
        <w:t>（2）加强与少数民族代表人士的联系。</w:t>
      </w:r>
    </w:p>
    <w:p>
      <w:pPr>
        <w:spacing w:line="578" w:lineRule="exact"/>
        <w:ind w:firstLineChars="200" w:firstLine="640"/>
        <w:rPr>
          <w:rFonts w:ascii="仿宋_GB2312" w:eastAsia="仿宋_GB2312" w:hAnsi="ˎ̥"/>
          <w:sz w:val="32"/>
          <w:szCs w:val="32"/>
        </w:rPr>
      </w:pPr>
      <w:r>
        <w:rPr>
          <w:rFonts w:ascii="仿宋_GB2312" w:eastAsia="仿宋_GB2312" w:hAnsi="ˎ̥"/>
          <w:sz w:val="32"/>
          <w:szCs w:val="32"/>
        </w:rPr>
        <w:t>（3）加强民族团结，维护社会稳定。</w:t>
      </w:r>
    </w:p>
    <w:p>
      <w:pPr>
        <w:spacing w:line="578" w:lineRule="exact"/>
        <w:ind w:firstLineChars="200" w:firstLine="640"/>
        <w:rPr>
          <w:rFonts w:ascii="仿宋_GB2312" w:eastAsia="仿宋_GB2312" w:hAnsi="ˎ̥"/>
          <w:sz w:val="32"/>
          <w:szCs w:val="32"/>
        </w:rPr>
      </w:pPr>
      <w:r>
        <w:rPr>
          <w:rFonts w:ascii="仿宋_GB2312" w:eastAsia="仿宋_GB2312" w:hAnsi="ˎ̥"/>
          <w:sz w:val="32"/>
          <w:szCs w:val="32"/>
        </w:rPr>
        <w:t>（4）依法加强对宗教场所的管理，引导宗教与社会主义社会相适应。</w:t>
      </w:r>
    </w:p>
    <w:p>
      <w:pPr>
        <w:pStyle w:val="15"/>
        <w:spacing w:before="125" w:line="314" w:lineRule="auto"/>
        <w:ind w:right="139" w:firstLine="664"/>
        <w:rPr>
          <w:rFonts w:ascii="仿宋_GB2312" w:eastAsia="仿宋_GB2312" w:hAnsi="ˎ̥"/>
          <w:sz w:val="32"/>
          <w:szCs w:val="32"/>
        </w:rPr>
      </w:pPr>
      <w:r>
        <w:rPr>
          <w:rFonts w:ascii="仿宋_GB2312" w:eastAsia="仿宋_GB2312" w:hAnsi="ˎ̥"/>
          <w:sz w:val="32"/>
          <w:szCs w:val="32"/>
        </w:rPr>
        <w:t>（5）承办区委、区政府及市委统战部、市民宗局等部门交办的其他事项。</w:t>
      </w:r>
    </w:p>
    <w:p>
      <w:pPr>
        <w:pStyle w:val="15"/>
        <w:spacing w:before="112" w:line="312" w:lineRule="auto"/>
        <w:ind w:right="125" w:firstLine="774"/>
        <w:rPr>
          <w:rFonts w:ascii="仿宋_GB2312" w:eastAsia="仿宋_GB2312" w:hAnsi="ˎ̥"/>
          <w:sz w:val="32"/>
          <w:szCs w:val="32"/>
        </w:rPr>
      </w:pPr>
      <w:r>
        <w:rPr>
          <w:b/>
          <w:bCs/>
          <w:spacing w:val="-11"/>
          <w:sz w:val="33"/>
          <w:szCs w:val="33"/>
        </w:rPr>
        <w:t>组织架构：</w:t>
      </w:r>
      <w:r>
        <w:rPr>
          <w:rFonts w:ascii="仿宋_GB2312" w:eastAsia="仿宋_GB2312" w:hAnsi="ˎ̥"/>
          <w:sz w:val="32"/>
          <w:szCs w:val="32"/>
        </w:rPr>
        <w:t>林周县</w:t>
      </w:r>
      <w:r>
        <w:rPr>
          <w:rFonts w:ascii="仿宋_GB2312" w:eastAsia="仿宋_GB2312" w:hAnsi="ˎ̥" w:hint="eastAsia"/>
          <w:sz w:val="32"/>
          <w:szCs w:val="32"/>
          <w:lang w:eastAsia="zh-CN"/>
        </w:rPr>
        <w:t>纳连扎寺</w:t>
      </w:r>
      <w:r>
        <w:rPr>
          <w:rFonts w:ascii="仿宋_GB2312" w:eastAsia="仿宋_GB2312" w:hAnsi="ˎ̥"/>
          <w:sz w:val="32"/>
          <w:szCs w:val="32"/>
        </w:rPr>
        <w:t>管委会，属行政单位,内设3个（</w:t>
      </w:r>
      <w:r>
        <w:rPr>
          <w:rFonts w:ascii="仿宋_GB2312" w:eastAsia="仿宋_GB2312" w:hAnsi="ˎ̥" w:hint="eastAsia"/>
          <w:sz w:val="32"/>
          <w:szCs w:val="32"/>
          <w:lang w:val="en-US" w:eastAsia="zh-CN"/>
        </w:rPr>
        <w:t>副</w:t>
      </w:r>
      <w:r>
        <w:rPr>
          <w:rFonts w:ascii="仿宋_GB2312" w:eastAsia="仿宋_GB2312" w:hAnsi="ˎ̥"/>
          <w:sz w:val="32"/>
          <w:szCs w:val="32"/>
        </w:rPr>
        <w:t>科级）科室：综合办公室、宗教事务科</w:t>
      </w:r>
      <w:r>
        <w:rPr>
          <w:rFonts w:ascii="仿宋_GB2312" w:eastAsia="仿宋_GB2312" w:hAnsi="ˎ̥" w:hint="eastAsia"/>
          <w:sz w:val="32"/>
          <w:szCs w:val="32"/>
          <w:lang w:eastAsia="zh-CN"/>
        </w:rPr>
        <w:t>（</w:t>
      </w:r>
      <w:r>
        <w:rPr>
          <w:rFonts w:ascii="仿宋_GB2312" w:eastAsia="仿宋_GB2312" w:hAnsi="ˎ̥" w:hint="eastAsia"/>
          <w:sz w:val="32"/>
          <w:szCs w:val="32"/>
          <w:lang w:val="en-US" w:eastAsia="zh-CN"/>
        </w:rPr>
        <w:t>治安管理科</w:t>
      </w:r>
      <w:r>
        <w:rPr>
          <w:rFonts w:ascii="仿宋_GB2312" w:eastAsia="仿宋_GB2312" w:hAnsi="ˎ̥" w:hint="eastAsia"/>
          <w:sz w:val="32"/>
          <w:szCs w:val="32"/>
          <w:lang w:eastAsia="zh-CN"/>
        </w:rPr>
        <w:t>）</w:t>
      </w:r>
      <w:r>
        <w:rPr>
          <w:rFonts w:ascii="仿宋_GB2312" w:eastAsia="仿宋_GB2312" w:hAnsi="ˎ̥"/>
          <w:sz w:val="32"/>
          <w:szCs w:val="32"/>
        </w:rPr>
        <w:t>、宣传教育科。</w:t>
      </w:r>
    </w:p>
    <w:p>
      <w:pPr>
        <w:pStyle w:val="15"/>
        <w:spacing w:before="112" w:line="312" w:lineRule="auto"/>
        <w:ind w:right="125" w:firstLine="774"/>
        <w:rPr>
          <w:rFonts w:ascii="仿宋_GB2312" w:eastAsia="仿宋_GB2312" w:cs="Arial" w:hAnsi="ˎ̥"/>
          <w:snapToGrid w:val="0"/>
          <w:color w:val="000000"/>
          <w:kern w:val="0"/>
          <w:sz w:val="32"/>
          <w:szCs w:val="32"/>
          <w:lang w:val="en-US" w:eastAsia="zh-CN" w:bidi="ar-SA"/>
        </w:rPr>
      </w:pPr>
      <w:r>
        <w:rPr>
          <w:b/>
          <w:bCs/>
          <w:spacing w:val="-3"/>
          <w:sz w:val="33"/>
          <w:szCs w:val="33"/>
        </w:rPr>
        <w:t>人员情况：</w:t>
      </w:r>
      <w:r>
        <w:rPr>
          <w:rFonts w:ascii="仿宋_GB2312" w:eastAsia="仿宋_GB2312" w:cs="Arial" w:hAnsi="ˎ̥"/>
          <w:snapToGrid w:val="0"/>
          <w:color w:val="000000"/>
          <w:kern w:val="0"/>
          <w:sz w:val="32"/>
          <w:szCs w:val="32"/>
          <w:lang w:val="en-US" w:eastAsia="zh-CN" w:bidi="ar-SA"/>
        </w:rPr>
        <w:t>截至2023年12月31日，我管委会编制人数</w:t>
      </w:r>
      <w:r>
        <w:rPr>
          <w:rFonts w:ascii="仿宋_GB2312" w:eastAsia="仿宋_GB2312" w:cs="Arial" w:hAnsi="ˎ̥" w:hint="eastAsia"/>
          <w:snapToGrid w:val="0"/>
          <w:color w:val="000000"/>
          <w:kern w:val="0"/>
          <w:sz w:val="32"/>
          <w:szCs w:val="32"/>
          <w:lang w:val="en-US" w:eastAsia="zh-CN" w:bidi="ar-SA"/>
        </w:rPr>
        <w:t>10</w:t>
      </w:r>
      <w:r>
        <w:rPr>
          <w:rFonts w:ascii="仿宋_GB2312" w:eastAsia="仿宋_GB2312" w:cs="Arial" w:hAnsi="ˎ̥"/>
          <w:snapToGrid w:val="0"/>
          <w:color w:val="000000"/>
          <w:kern w:val="0"/>
          <w:sz w:val="32"/>
          <w:szCs w:val="32"/>
          <w:lang w:val="en-US" w:eastAsia="zh-CN" w:bidi="ar-SA"/>
        </w:rPr>
        <w:t>人， 较上年度无变化，年末实有人数0人，较上年度增加0人， 其中政府机关人员0人。</w:t>
      </w:r>
    </w:p>
    <w:p>
      <w:pPr>
        <w:pStyle w:val="15"/>
        <w:spacing w:before="133" w:line="312" w:lineRule="auto"/>
        <w:ind w:right="102" w:firstLine="719"/>
        <w:rPr>
          <w:rFonts w:ascii="仿宋_GB2312" w:eastAsia="仿宋_GB2312" w:cs="Arial" w:hAnsi="ˎ̥"/>
          <w:snapToGrid w:val="0"/>
          <w:color w:val="000000"/>
          <w:kern w:val="0"/>
          <w:sz w:val="32"/>
          <w:szCs w:val="32"/>
          <w:lang w:val="en-US" w:eastAsia="zh-CN" w:bidi="ar-SA"/>
        </w:rPr>
      </w:pPr>
      <w:r>
        <w:rPr>
          <w:rFonts w:ascii="仿宋_GB2312" w:eastAsia="仿宋_GB2312" w:cs="Arial" w:hAnsi="ˎ̥"/>
          <w:snapToGrid w:val="0"/>
          <w:color w:val="000000"/>
          <w:kern w:val="0"/>
          <w:sz w:val="32"/>
          <w:szCs w:val="32"/>
          <w:lang w:val="en-US" w:eastAsia="zh-CN" w:bidi="ar-SA"/>
        </w:rPr>
        <w:t>资产情况：截至2023年12月31日，我管委会资产总额15.51万元，主要由流动资产、非流动资产和受托代理资产构成。其中非流动资产主要包括固定资产(房屋及构筑物、通用设备、专用设备和家具、用具、装具及)及无形资产。</w:t>
      </w:r>
    </w:p>
    <w:p>
      <w:pPr>
        <w:spacing w:before="84" w:line="223" w:lineRule="auto"/>
        <w:ind w:left="834"/>
        <w:outlineLvl w:val="0"/>
        <w:rPr>
          <w:rFonts w:ascii="楷体" w:eastAsia="楷体" w:cs="楷体" w:hAnsi="楷体"/>
          <w:sz w:val="33"/>
          <w:szCs w:val="33"/>
        </w:rPr>
      </w:pPr>
      <w:r>
        <w:rPr>
          <w:rFonts w:ascii="楷体" w:eastAsia="楷体" w:cs="楷体" w:hAnsi="楷体"/>
          <w:b/>
          <w:bCs/>
          <w:spacing w:val="-5"/>
          <w:sz w:val="33"/>
          <w:szCs w:val="33"/>
        </w:rPr>
        <w:t>(二)当年部门履职总体目标。</w:t>
      </w:r>
    </w:p>
    <w:p>
      <w:pPr>
        <w:pStyle w:val="15"/>
        <w:spacing w:before="112" w:line="312" w:lineRule="auto"/>
        <w:ind w:right="125" w:firstLine="774"/>
        <w:rPr>
          <w:rFonts w:ascii="仿宋_GB2312" w:eastAsia="仿宋_GB2312" w:cs="Arial" w:hAnsi="ˎ̥"/>
          <w:snapToGrid w:val="0"/>
          <w:color w:val="000000"/>
          <w:kern w:val="0"/>
          <w:sz w:val="32"/>
          <w:szCs w:val="32"/>
          <w:lang w:val="en-US" w:eastAsia="zh-CN" w:bidi="ar-SA"/>
        </w:rPr>
      </w:pPr>
      <w:r>
        <w:rPr>
          <w:rFonts w:ascii="仿宋_GB2312" w:eastAsia="仿宋_GB2312" w:cs="Arial" w:hAnsi="ˎ̥"/>
          <w:snapToGrid w:val="0"/>
          <w:color w:val="000000"/>
          <w:kern w:val="0"/>
          <w:sz w:val="32"/>
          <w:szCs w:val="32"/>
          <w:lang w:val="en-US" w:eastAsia="zh-CN" w:bidi="ar-SA"/>
        </w:rPr>
        <w:t xml:space="preserve">强化财政资源统筹，主动服务保障大事要事；强化基本民 生兜底，坚定不移增进民生福祉；强化风险防范化解，牢牢守 </w:t>
      </w:r>
    </w:p>
    <w:p>
      <w:pPr>
        <w:pStyle w:val="15"/>
        <w:spacing w:before="112" w:line="312" w:lineRule="auto"/>
        <w:ind w:right="125"/>
        <w:rPr>
          <w:rFonts w:ascii="仿宋_GB2312" w:eastAsia="仿宋_GB2312" w:cs="Arial" w:hAnsi="ˎ̥"/>
          <w:snapToGrid w:val="0"/>
          <w:color w:val="000000"/>
          <w:kern w:val="0"/>
          <w:sz w:val="32"/>
          <w:szCs w:val="32"/>
          <w:lang w:val="en-US" w:eastAsia="zh-CN" w:bidi="ar-SA"/>
        </w:rPr>
      </w:pPr>
      <w:r>
        <w:rPr>
          <w:rFonts w:ascii="仿宋_GB2312" w:eastAsia="仿宋_GB2312" w:cs="Arial" w:hAnsi="ˎ̥"/>
          <w:snapToGrid w:val="0"/>
          <w:color w:val="000000"/>
          <w:kern w:val="0"/>
          <w:sz w:val="32"/>
          <w:szCs w:val="32"/>
          <w:lang w:val="en-US" w:eastAsia="zh-CN" w:bidi="ar-SA"/>
        </w:rPr>
        <w:t>住财政风险底线；强化改革创新攻坚，不断健全现代预算制度；强化过紧日子要求，切实增强财政可持续性；强化财经纪律约 束，全面提升财政治理效能；完成预算管理、国库管理、政策 管理、会计管理、财政监督、国资管理等管理任务；落实党中 央对西藏干部职工的关心关怀，提高驻寺干部工作的积极性，保障我区统战事业健康稳健发展；保证管委会良好的办公 环境，营造积极向上的工作氛围，保障管委会关正常运转。</w:t>
      </w:r>
    </w:p>
    <w:p>
      <w:pPr>
        <w:spacing w:before="106" w:line="223" w:lineRule="auto"/>
        <w:ind w:left="924"/>
        <w:outlineLvl w:val="0"/>
        <w:rPr>
          <w:rFonts w:ascii="楷体" w:eastAsia="楷体" w:cs="楷体" w:hAnsi="楷体"/>
          <w:sz w:val="33"/>
          <w:szCs w:val="33"/>
        </w:rPr>
      </w:pPr>
      <w:r>
        <w:rPr>
          <w:rFonts w:ascii="楷体" w:eastAsia="楷体" w:cs="楷体" w:hAnsi="楷体"/>
          <w:b/>
          <w:bCs/>
          <w:spacing w:val="-7"/>
          <w:sz w:val="33"/>
          <w:szCs w:val="33"/>
        </w:rPr>
        <w:t>(三)部门预算绩效管理开展情况。</w:t>
      </w:r>
    </w:p>
    <w:p>
      <w:pPr>
        <w:pStyle w:val="15"/>
        <w:spacing w:before="112" w:line="312" w:lineRule="auto"/>
        <w:ind w:right="125" w:firstLine="774"/>
        <w:rPr>
          <w:rFonts w:ascii="仿宋_GB2312" w:eastAsia="仿宋_GB2312" w:cs="Arial" w:hAnsi="ˎ̥"/>
          <w:snapToGrid w:val="0"/>
          <w:color w:val="000000"/>
          <w:kern w:val="0"/>
          <w:sz w:val="32"/>
          <w:szCs w:val="32"/>
          <w:lang w:val="en-US" w:eastAsia="zh-CN" w:bidi="ar-SA"/>
        </w:rPr>
      </w:pPr>
      <w:r>
        <w:rPr>
          <w:rFonts w:ascii="仿宋_GB2312" w:eastAsia="仿宋_GB2312" w:cs="Arial" w:hAnsi="ˎ̥"/>
          <w:snapToGrid w:val="0"/>
          <w:color w:val="000000"/>
          <w:kern w:val="0"/>
          <w:sz w:val="32"/>
          <w:szCs w:val="32"/>
          <w:lang w:val="en-US" w:eastAsia="zh-CN" w:bidi="ar-SA"/>
        </w:rPr>
        <w:t>一是积极开展事前绩效管理。把好审核关，将绩效目标作 为预算安排的前置条件，加强绩效目标管理。二是强化事中绩  效监督。根据</w:t>
      </w:r>
      <w:r>
        <w:rPr>
          <w:spacing w:val="-5"/>
          <w:sz w:val="33"/>
          <w:szCs w:val="33"/>
        </w:rPr>
        <w:t>根据《西藏自治区财政厅关于开展2023年度自治区本</w:t>
      </w:r>
      <w:r>
        <w:rPr>
          <w:spacing w:val="-6"/>
          <w:sz w:val="33"/>
          <w:szCs w:val="33"/>
        </w:rPr>
        <w:t>级部门预算绩效运行监控的通知》(藏财绩〔2023〕6</w:t>
      </w:r>
      <w:r>
        <w:rPr>
          <w:spacing w:val="-7"/>
          <w:sz w:val="33"/>
          <w:szCs w:val="33"/>
        </w:rPr>
        <w:t>号)要求</w:t>
      </w:r>
      <w:r>
        <w:rPr>
          <w:rFonts w:ascii="仿宋_GB2312" w:eastAsia="仿宋_GB2312" w:cs="Arial" w:hAnsi="ˎ̥"/>
          <w:snapToGrid w:val="0"/>
          <w:color w:val="000000"/>
          <w:kern w:val="0"/>
          <w:sz w:val="32"/>
          <w:szCs w:val="32"/>
          <w:lang w:val="en-US" w:eastAsia="zh-CN" w:bidi="ar-SA"/>
        </w:rPr>
        <w:t>要求，通过预算管理一体化系统，对绩效目标实现程度和预算执行进 度实行“双监控”。三是加强事后绩效评价。根据《西藏自治区 财政厅关于开展2022年度自治区本级预算项目单位自评和部门 评价的通知》(藏财绩〔2023)5号〕要求，运用一体化系统对年 度所有预算项目开展绩效自评，并将绩效自评结果与下年度预 算申报挂钩。</w:t>
      </w:r>
    </w:p>
    <w:p>
      <w:pPr>
        <w:spacing w:before="138" w:line="223" w:lineRule="auto"/>
        <w:ind w:left="824"/>
        <w:outlineLvl w:val="0"/>
        <w:rPr>
          <w:rFonts w:ascii="楷体" w:eastAsia="楷体" w:cs="楷体" w:hAnsi="楷体"/>
          <w:sz w:val="33"/>
          <w:szCs w:val="33"/>
        </w:rPr>
      </w:pPr>
      <w:r>
        <w:rPr>
          <w:rFonts w:ascii="楷体" w:eastAsia="楷体" w:cs="楷体" w:hAnsi="楷体"/>
          <w:b/>
          <w:bCs/>
          <w:spacing w:val="-6"/>
          <w:sz w:val="33"/>
          <w:szCs w:val="33"/>
        </w:rPr>
        <w:t>(四)当年部门预算及执行情况。</w:t>
      </w:r>
    </w:p>
    <w:p>
      <w:pPr>
        <w:pStyle w:val="15"/>
        <w:spacing w:before="112" w:line="312" w:lineRule="auto"/>
        <w:ind w:right="125" w:firstLine="774"/>
        <w:rPr>
          <w:rFonts w:ascii="仿宋_GB2312" w:eastAsia="仿宋_GB2312" w:cs="Arial" w:hAnsi="ˎ̥"/>
          <w:snapToGrid w:val="0"/>
          <w:color w:val="000000"/>
          <w:kern w:val="0"/>
          <w:sz w:val="32"/>
          <w:szCs w:val="32"/>
          <w:lang w:val="en-US" w:eastAsia="zh-CN" w:bidi="ar-SA"/>
        </w:rPr>
      </w:pPr>
      <w:r>
        <w:rPr>
          <w:rFonts w:ascii="仿宋_GB2312" w:eastAsia="仿宋_GB2312" w:cs="Arial" w:hAnsi="ˎ̥"/>
          <w:snapToGrid w:val="0"/>
          <w:color w:val="000000"/>
          <w:kern w:val="0"/>
          <w:sz w:val="32"/>
          <w:szCs w:val="32"/>
          <w:lang w:val="en-US" w:eastAsia="zh-CN" w:bidi="ar-SA"/>
        </w:rPr>
        <w:t>2023年，林周县</w:t>
      </w:r>
      <w:r>
        <w:rPr>
          <w:rFonts w:ascii="仿宋_GB2312" w:eastAsia="仿宋_GB2312" w:cs="Arial" w:hAnsi="ˎ̥" w:hint="eastAsia"/>
          <w:snapToGrid w:val="0"/>
          <w:color w:val="000000"/>
          <w:kern w:val="0"/>
          <w:sz w:val="32"/>
          <w:szCs w:val="32"/>
          <w:lang w:val="en-US" w:eastAsia="zh-CN" w:bidi="ar-SA"/>
        </w:rPr>
        <w:t>纳连扎寺</w:t>
      </w:r>
      <w:r>
        <w:rPr>
          <w:rFonts w:ascii="仿宋_GB2312" w:eastAsia="仿宋_GB2312" w:cs="Arial" w:hAnsi="ˎ̥"/>
          <w:snapToGrid w:val="0"/>
          <w:color w:val="000000"/>
          <w:kern w:val="0"/>
          <w:sz w:val="32"/>
          <w:szCs w:val="32"/>
          <w:lang w:val="en-US" w:eastAsia="zh-CN" w:bidi="ar-SA"/>
        </w:rPr>
        <w:t>管委会年初预算收入</w:t>
      </w:r>
      <w:r>
        <w:rPr>
          <w:rFonts w:ascii="仿宋_GB2312" w:eastAsia="仿宋_GB2312" w:hAnsi="ˎ̥"/>
          <w:color w:val="auto"/>
          <w:sz w:val="32"/>
          <w:szCs w:val="32"/>
          <w:lang w:val="en-US" w:eastAsia="zh-CN"/>
        </w:rPr>
        <w:t>269.93</w:t>
      </w:r>
      <w:r>
        <w:rPr>
          <w:rFonts w:ascii="仿宋_GB2312" w:eastAsia="仿宋_GB2312" w:cs="Arial" w:hAnsi="ˎ̥"/>
          <w:snapToGrid w:val="0"/>
          <w:color w:val="000000"/>
          <w:kern w:val="0"/>
          <w:sz w:val="32"/>
          <w:szCs w:val="32"/>
          <w:lang w:val="en-US" w:eastAsia="zh-CN" w:bidi="ar-SA"/>
        </w:rPr>
        <w:t>万元，调整预算数7.45万元，预算支出</w:t>
      </w:r>
      <w:r>
        <w:rPr>
          <w:rFonts w:ascii="仿宋_GB2312" w:eastAsia="仿宋_GB2312" w:hAnsi="仿宋_GB2312" w:hint="eastAsia"/>
          <w:sz w:val="32"/>
          <w:szCs w:val="32"/>
          <w:lang w:val="en-US"/>
        </w:rPr>
        <w:t>262.48</w:t>
      </w:r>
      <w:r>
        <w:rPr>
          <w:rFonts w:ascii="仿宋_GB2312" w:eastAsia="仿宋_GB2312" w:cs="Arial" w:hAnsi="ˎ̥"/>
          <w:snapToGrid w:val="0"/>
          <w:color w:val="000000"/>
          <w:kern w:val="0"/>
          <w:sz w:val="32"/>
          <w:szCs w:val="32"/>
          <w:lang w:val="en-US" w:eastAsia="zh-CN" w:bidi="ar-SA"/>
        </w:rPr>
        <w:t>万元。其中：基本支出年初预算收入</w:t>
      </w:r>
      <w:r>
        <w:rPr>
          <w:rFonts w:ascii="仿宋_GB2312" w:eastAsia="仿宋_GB2312" w:hAnsi="ˎ̥"/>
          <w:color w:val="auto"/>
          <w:sz w:val="32"/>
          <w:szCs w:val="32"/>
          <w:lang w:val="en-US" w:eastAsia="zh-CN"/>
        </w:rPr>
        <w:t>269.93</w:t>
      </w:r>
      <w:r>
        <w:rPr>
          <w:rFonts w:ascii="仿宋_GB2312" w:eastAsia="仿宋_GB2312" w:cs="Arial" w:hAnsi="ˎ̥"/>
          <w:snapToGrid w:val="0"/>
          <w:color w:val="000000"/>
          <w:kern w:val="0"/>
          <w:sz w:val="32"/>
          <w:szCs w:val="32"/>
          <w:lang w:val="en-US" w:eastAsia="zh-CN" w:bidi="ar-SA"/>
        </w:rPr>
        <w:t>万元，调整预算数7.45万元基本支出预算支出</w:t>
      </w:r>
      <w:r>
        <w:rPr>
          <w:rFonts w:ascii="仿宋_GB2312" w:eastAsia="仿宋_GB2312" w:hAnsi="仿宋_GB2312" w:hint="eastAsia"/>
          <w:sz w:val="32"/>
          <w:szCs w:val="32"/>
          <w:lang w:val="en-US"/>
        </w:rPr>
        <w:t>262.48</w:t>
      </w:r>
      <w:r>
        <w:rPr>
          <w:rFonts w:ascii="仿宋_GB2312" w:eastAsia="仿宋_GB2312" w:cs="Arial" w:hAnsi="ˎ̥"/>
          <w:snapToGrid w:val="0"/>
          <w:color w:val="000000"/>
          <w:kern w:val="0"/>
          <w:sz w:val="32"/>
          <w:szCs w:val="32"/>
          <w:lang w:val="en-US" w:eastAsia="zh-CN" w:bidi="ar-SA"/>
        </w:rPr>
        <w:t>万元，执行率97.25%。</w:t>
      </w:r>
      <w:bookmarkStart w:id="0" w:name="_GoBack"/>
      <w:bookmarkEnd w:id="0"/>
    </w:p>
    <w:p>
      <w:pPr>
        <w:spacing w:before="73" w:line="221" w:lineRule="auto"/>
        <w:ind w:left="819"/>
        <w:outlineLvl w:val="0"/>
        <w:rPr>
          <w:rFonts w:ascii="黑体" w:eastAsia="黑体" w:cs="黑体" w:hAnsi="黑体"/>
          <w:sz w:val="33"/>
          <w:szCs w:val="33"/>
        </w:rPr>
      </w:pPr>
      <w:r>
        <w:rPr>
          <w:rFonts w:ascii="黑体" w:eastAsia="黑体" w:cs="黑体" w:hAnsi="黑体"/>
          <w:b/>
          <w:bCs/>
          <w:spacing w:val="-21"/>
          <w:sz w:val="33"/>
          <w:szCs w:val="33"/>
        </w:rPr>
        <w:t>二</w:t>
      </w:r>
      <w:r>
        <w:rPr>
          <w:rFonts w:ascii="黑体" w:eastAsia="黑体" w:cs="黑体" w:hAnsi="黑体"/>
          <w:spacing w:val="-77"/>
          <w:sz w:val="33"/>
          <w:szCs w:val="33"/>
        </w:rPr>
        <w:t xml:space="preserve"> </w:t>
      </w:r>
      <w:r>
        <w:rPr>
          <w:rFonts w:ascii="黑体" w:eastAsia="黑体" w:cs="黑体" w:hAnsi="黑体"/>
          <w:b/>
          <w:bCs/>
          <w:spacing w:val="-21"/>
          <w:sz w:val="33"/>
          <w:szCs w:val="33"/>
        </w:rPr>
        <w:t>、部门整体支出绩效实现情况</w:t>
      </w:r>
    </w:p>
    <w:p>
      <w:pPr>
        <w:pStyle w:val="15"/>
        <w:spacing w:before="184" w:line="319" w:lineRule="auto"/>
        <w:ind w:left="165" w:right="5" w:firstLine="650"/>
        <w:jc w:val="both"/>
        <w:rPr>
          <w:sz w:val="33"/>
          <w:szCs w:val="33"/>
        </w:rPr>
      </w:pPr>
      <w:r>
        <w:rPr>
          <w:rFonts w:ascii="仿宋_GB2312" w:eastAsia="仿宋_GB2312" w:cs="Arial" w:hAnsi="ˎ̥"/>
          <w:snapToGrid w:val="0"/>
          <w:color w:val="000000"/>
          <w:kern w:val="0"/>
          <w:sz w:val="32"/>
          <w:szCs w:val="32"/>
          <w:lang w:val="en-US" w:eastAsia="zh-CN" w:bidi="ar-SA"/>
        </w:rPr>
        <w:t>2023年共实施0个项目，经对照分析一般性公共预算执行进度、产出指标、效益指标和满意度指标 的实现程度及趋势进行逐项打分，最终得分为9</w:t>
      </w:r>
      <w:r>
        <w:rPr>
          <w:rFonts w:ascii="仿宋_GB2312" w:eastAsia="仿宋_GB2312" w:cs="Arial" w:hAnsi="ˎ̥" w:hint="eastAsia"/>
          <w:snapToGrid w:val="0"/>
          <w:color w:val="000000"/>
          <w:kern w:val="0"/>
          <w:sz w:val="32"/>
          <w:szCs w:val="32"/>
          <w:lang w:val="en-US" w:eastAsia="zh-CN" w:bidi="ar-SA"/>
        </w:rPr>
        <w:t>8</w:t>
      </w:r>
      <w:r>
        <w:rPr>
          <w:rFonts w:ascii="仿宋_GB2312" w:eastAsia="仿宋_GB2312" w:cs="Arial" w:hAnsi="ˎ̥"/>
          <w:snapToGrid w:val="0"/>
          <w:color w:val="000000"/>
          <w:kern w:val="0"/>
          <w:sz w:val="32"/>
          <w:szCs w:val="32"/>
          <w:lang w:val="en-US" w:eastAsia="zh-CN" w:bidi="ar-SA"/>
        </w:rPr>
        <w:t>分。从总体来看，我管委会整体预算支出基本完成既定目标，与年初设定的绩效 目标无偏离。</w:t>
      </w:r>
    </w:p>
    <w:p>
      <w:pPr>
        <w:spacing w:before="48" w:line="221" w:lineRule="auto"/>
        <w:ind w:left="819"/>
        <w:outlineLvl w:val="0"/>
        <w:rPr>
          <w:rFonts w:ascii="黑体" w:eastAsia="黑体" w:cs="黑体" w:hAnsi="黑体"/>
          <w:sz w:val="33"/>
          <w:szCs w:val="33"/>
        </w:rPr>
      </w:pPr>
      <w:r>
        <w:rPr>
          <w:rFonts w:ascii="黑体" w:eastAsia="黑体" w:cs="黑体" w:hAnsi="黑体"/>
          <w:b/>
          <w:bCs/>
          <w:spacing w:val="-13"/>
          <w:sz w:val="33"/>
          <w:szCs w:val="33"/>
        </w:rPr>
        <w:t>三、部门整体支出绩效中存在问题及改进措施</w:t>
      </w:r>
    </w:p>
    <w:p>
      <w:pPr>
        <w:spacing w:before="175" w:line="226" w:lineRule="auto"/>
        <w:ind w:left="1009"/>
        <w:outlineLvl w:val="0"/>
        <w:rPr>
          <w:rFonts w:ascii="楷体" w:eastAsia="楷体" w:cs="楷体" w:hAnsi="楷体"/>
          <w:sz w:val="33"/>
          <w:szCs w:val="33"/>
        </w:rPr>
      </w:pPr>
      <w:r>
        <w:rPr>
          <w:rFonts w:ascii="楷体" w:eastAsia="楷体" w:cs="楷体" w:hAnsi="楷体"/>
          <w:b/>
          <w:bCs/>
          <w:spacing w:val="-4"/>
          <w:sz w:val="33"/>
          <w:szCs w:val="33"/>
        </w:rPr>
        <w:t>(一)主要问题及原因分析。</w:t>
      </w:r>
    </w:p>
    <w:p>
      <w:pPr>
        <w:pStyle w:val="15"/>
        <w:spacing w:before="189" w:line="312" w:lineRule="auto"/>
        <w:ind w:left="165" w:right="2" w:firstLine="650"/>
        <w:jc w:val="both"/>
        <w:rPr>
          <w:sz w:val="33"/>
          <w:szCs w:val="33"/>
        </w:rPr>
      </w:pPr>
      <w:r>
        <w:rPr>
          <w:rFonts w:ascii="仿宋_GB2312" w:eastAsia="仿宋_GB2312" w:cs="Arial" w:hAnsi="ˎ̥"/>
          <w:snapToGrid w:val="0"/>
          <w:color w:val="000000"/>
          <w:kern w:val="0"/>
          <w:sz w:val="32"/>
          <w:szCs w:val="32"/>
          <w:lang w:val="en-US" w:eastAsia="zh-CN" w:bidi="ar-SA"/>
        </w:rPr>
        <w:t>一是个别支出因前期规划不足等因素，全年预算执行进度不均衡。</w:t>
      </w:r>
    </w:p>
    <w:p>
      <w:pPr>
        <w:spacing w:before="94" w:line="228" w:lineRule="auto"/>
        <w:ind w:left="979"/>
        <w:outlineLvl w:val="0"/>
        <w:rPr>
          <w:rFonts w:ascii="楷体" w:eastAsia="楷体" w:cs="楷体" w:hAnsi="楷体"/>
          <w:sz w:val="33"/>
          <w:szCs w:val="33"/>
        </w:rPr>
      </w:pPr>
      <w:r>
        <w:rPr>
          <w:rFonts w:ascii="楷体" w:eastAsia="楷体" w:cs="楷体" w:hAnsi="楷体"/>
          <w:b/>
          <w:bCs/>
          <w:spacing w:val="-4"/>
          <w:sz w:val="33"/>
          <w:szCs w:val="33"/>
        </w:rPr>
        <w:t>(二)改进的方向和具体措施。</w:t>
      </w:r>
    </w:p>
    <w:p>
      <w:pPr>
        <w:pStyle w:val="15"/>
        <w:spacing w:before="189" w:line="312" w:lineRule="auto"/>
        <w:ind w:left="165" w:right="2" w:firstLine="650"/>
        <w:jc w:val="both"/>
        <w:rPr>
          <w:rFonts w:ascii="仿宋_GB2312" w:eastAsia="仿宋_GB2312" w:cs="Arial" w:hAnsi="ˎ̥"/>
          <w:snapToGrid w:val="0"/>
          <w:color w:val="000000"/>
          <w:kern w:val="0"/>
          <w:sz w:val="32"/>
          <w:szCs w:val="32"/>
          <w:lang w:val="en-US" w:eastAsia="zh-CN" w:bidi="ar-SA"/>
        </w:rPr>
      </w:pPr>
      <w:r>
        <w:rPr>
          <w:rFonts w:ascii="仿宋_GB2312" w:eastAsia="仿宋_GB2312" w:cs="Arial" w:hAnsi="ˎ̥"/>
          <w:snapToGrid w:val="0"/>
          <w:color w:val="000000"/>
          <w:kern w:val="0"/>
          <w:sz w:val="32"/>
          <w:szCs w:val="32"/>
          <w:lang w:val="en-US" w:eastAsia="zh-CN" w:bidi="ar-SA"/>
        </w:rPr>
        <w:t>一是加强政府采购项目预算编制工作，结合工作实际，在</w:t>
      </w:r>
      <w:r>
        <w:rPr>
          <w:rFonts w:ascii="仿宋_GB2312" w:eastAsia="仿宋_GB2312" w:cs="Arial" w:hAnsi="ˎ̥" w:hint="eastAsia"/>
          <w:snapToGrid w:val="0"/>
          <w:color w:val="000000"/>
          <w:kern w:val="0"/>
          <w:sz w:val="32"/>
          <w:szCs w:val="32"/>
          <w:lang w:val="en-US" w:eastAsia="zh-CN" w:bidi="ar-SA"/>
        </w:rPr>
        <w:t>"</w:t>
      </w:r>
      <w:r>
        <w:rPr>
          <w:rFonts w:ascii="仿宋_GB2312" w:eastAsia="仿宋_GB2312" w:cs="Arial" w:hAnsi="ˎ̥"/>
          <w:snapToGrid w:val="0"/>
          <w:color w:val="000000"/>
          <w:kern w:val="0"/>
          <w:sz w:val="32"/>
          <w:szCs w:val="32"/>
          <w:lang w:val="en-US" w:eastAsia="zh-CN" w:bidi="ar-SA"/>
        </w:rPr>
        <w:t>零基预算</w:t>
      </w:r>
      <w:r>
        <w:rPr>
          <w:rFonts w:ascii="仿宋_GB2312" w:eastAsia="仿宋_GB2312" w:cs="Arial" w:hAnsi="ˎ̥"/>
          <w:snapToGrid w:val="0"/>
          <w:color w:val="000000"/>
          <w:kern w:val="0"/>
          <w:sz w:val="32"/>
          <w:szCs w:val="32"/>
          <w:lang w:val="en-US" w:eastAsia="zh-CN" w:bidi="ar-SA"/>
        </w:rPr>
        <w:t>”</w:t>
      </w:r>
      <w:r>
        <w:rPr>
          <w:rFonts w:ascii="仿宋_GB2312" w:eastAsia="仿宋_GB2312" w:cs="Arial" w:hAnsi="ˎ̥"/>
          <w:snapToGrid w:val="0"/>
          <w:color w:val="000000"/>
          <w:kern w:val="0"/>
          <w:sz w:val="32"/>
          <w:szCs w:val="32"/>
          <w:lang w:val="en-US" w:eastAsia="zh-CN" w:bidi="ar-SA"/>
        </w:rPr>
        <w:t>的基础上合理测算预算需求，提前谋划、超前部署，并严格按照国家和自治区相关法律法规开展相关工作。二是压实预算执行主体责任，深化绩效目标监控，对绩效目标偏 离情形分析具体原因，及时采取有效措施予以纠正，合理合法 加快项目资金执行进度。</w:t>
      </w:r>
    </w:p>
    <w:p>
      <w:pPr>
        <w:spacing w:before="92" w:line="221" w:lineRule="auto"/>
        <w:ind w:left="694"/>
        <w:outlineLvl w:val="0"/>
        <w:rPr>
          <w:rFonts w:ascii="黑体" w:eastAsia="黑体" w:cs="黑体" w:hAnsi="黑体"/>
          <w:sz w:val="33"/>
          <w:szCs w:val="33"/>
        </w:rPr>
      </w:pPr>
      <w:r>
        <w:rPr>
          <w:rFonts w:ascii="黑体" w:eastAsia="黑体" w:cs="黑体" w:hAnsi="黑体"/>
          <w:b/>
          <w:bCs/>
          <w:spacing w:val="-14"/>
          <w:sz w:val="33"/>
          <w:szCs w:val="33"/>
        </w:rPr>
        <w:t>四、绩效自评结果拟应用和公开情况</w:t>
      </w:r>
    </w:p>
    <w:p>
      <w:pPr>
        <w:pStyle w:val="15"/>
        <w:spacing w:before="189" w:line="312" w:lineRule="auto"/>
        <w:ind w:left="165" w:right="2" w:firstLine="650"/>
        <w:jc w:val="both"/>
        <w:rPr>
          <w:rFonts w:ascii="仿宋_GB2312" w:eastAsia="仿宋_GB2312" w:cs="Arial" w:hAnsi="ˎ̥"/>
          <w:snapToGrid w:val="0"/>
          <w:color w:val="000000"/>
          <w:kern w:val="0"/>
          <w:sz w:val="32"/>
          <w:szCs w:val="32"/>
          <w:lang w:val="en-US" w:eastAsia="zh-CN" w:bidi="ar-SA"/>
        </w:rPr>
        <w:sectPr>
          <w:footerReference w:type="default" r:id="rId2"/>
          <w:pgSz w:w="11940" w:h="16440"/>
          <w:pgMar w:top="1397" w:right="1791" w:bottom="1251" w:left="1204" w:header="0" w:footer="924" w:gutter="0"/>
          <w:pgNumType w:start="1"/>
          <w:cols w:num="1" w:space="720"/>
          <w:docGrid w:linePitch="312" w:charSpace="0"/>
        </w:sectPr>
      </w:pPr>
      <w:r>
        <w:rPr>
          <w:rFonts w:ascii="仿宋_GB2312" w:eastAsia="仿宋_GB2312" w:cs="Arial" w:hAnsi="ˎ̥"/>
          <w:snapToGrid w:val="0"/>
          <w:color w:val="000000"/>
          <w:kern w:val="0"/>
          <w:sz w:val="32"/>
          <w:szCs w:val="32"/>
          <w:lang w:val="en-US" w:eastAsia="zh-CN" w:bidi="ar-SA"/>
        </w:rPr>
        <w:t>一是落实绩效管理与预算安排挂钩，认真落实过紧日子要 求，持续压减培训费、办公费、差旅费等基本支出，全年调减 基本支出0万元。对年度预算执行和预算绩效较好的项目 在预算安排上予以倾斜，对效能不理想的项目予以审减或取消， 共审减经费0万元。二是按照预决算公开工作要求，管委会在本级财政部门批复后20日内，将部门绩效评价报告及部门整体支出绩效目标申报表及时在林周县人民政府门户网站上进行公开。</w:t>
      </w:r>
    </w:p>
    <w:p>
      <w:pPr>
        <w:spacing w:line="336" w:lineRule="auto"/>
        <w:rPr>
          <w:rFonts w:ascii="Arial" w:hAnsi="Arial"/>
          <w:sz w:val="21"/>
        </w:rPr>
      </w:pPr>
    </w:p>
    <w:p>
      <w:pPr>
        <w:spacing w:before="65" w:line="218" w:lineRule="auto"/>
        <w:ind w:left="6117"/>
        <w:rPr>
          <w:rFonts w:ascii="宋体" w:eastAsia="宋体" w:cs="宋体" w:hAnsi="宋体"/>
          <w:sz w:val="20"/>
          <w:szCs w:val="20"/>
        </w:rPr>
      </w:pPr>
      <w:r>
        <w:rPr>
          <w:rFonts w:ascii="宋体" w:eastAsia="宋体" w:cs="宋体" w:hAnsi="宋体"/>
          <w:b/>
          <w:bCs/>
          <w:spacing w:val="-12"/>
          <w:sz w:val="20"/>
          <w:szCs w:val="20"/>
        </w:rPr>
        <w:t>部门整体支出绩效自评表</w:t>
      </w:r>
    </w:p>
    <w:p>
      <w:pPr>
        <w:spacing w:line="72" w:lineRule="exact"/>
      </w:pPr>
    </w:p>
    <w:tbl>
      <w:tblPr>
        <w:jc w:val="left"/>
        <w:tblInd w:w="5" w:type="dxa"/>
        <w:tblW w:w="14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600" w:firstRow="0" w:lastRow="0" w:firstColumn="0" w:lastColumn="0" w:noHBand="1" w:noVBand="1"/>
      </w:tblPr>
      <w:tblGrid>
        <w:gridCol w:w="605"/>
        <w:gridCol w:w="1069"/>
        <w:gridCol w:w="1604"/>
        <w:gridCol w:w="915"/>
        <w:gridCol w:w="899"/>
        <w:gridCol w:w="1479"/>
        <w:gridCol w:w="890"/>
        <w:gridCol w:w="840"/>
        <w:gridCol w:w="1009"/>
        <w:gridCol w:w="999"/>
        <w:gridCol w:w="999"/>
        <w:gridCol w:w="1009"/>
        <w:gridCol w:w="979"/>
        <w:gridCol w:w="1014"/>
      </w:tblGrid>
      <w:tr>
        <w:trPr>
          <w:trHeight w:val="145"/>
        </w:trPr>
        <w:tc>
          <w:tcPr>
            <w:tcW w:w="14310" w:type="dxa"/>
            <w:gridSpan w:val="14"/>
          </w:tcPr>
          <w:p>
            <w:pPr>
              <w:pStyle w:val="19"/>
              <w:spacing w:before="10" w:line="163" w:lineRule="auto"/>
              <w:ind w:left="6744"/>
            </w:pPr>
            <w:r>
              <w:rPr>
                <w:spacing w:val="-1"/>
              </w:rPr>
              <w:t>预算年度：2023</w:t>
            </w:r>
          </w:p>
        </w:tc>
      </w:tr>
      <w:tr>
        <w:trPr>
          <w:trHeight w:val="170"/>
        </w:trPr>
        <w:tc>
          <w:tcPr>
            <w:tcW w:w="14310" w:type="dxa"/>
            <w:gridSpan w:val="14"/>
          </w:tcPr>
          <w:p>
            <w:pPr>
              <w:pStyle w:val="19"/>
              <w:spacing w:before="15" w:line="190" w:lineRule="auto"/>
              <w:ind w:left="15"/>
            </w:pPr>
            <w:r>
              <w:rPr>
                <w:spacing w:val="-1"/>
              </w:rPr>
              <w:t>预算(单位)名称：林周县</w:t>
            </w:r>
            <w:r>
              <w:rPr>
                <w:rFonts w:hint="eastAsia"/>
                <w:spacing w:val="-1"/>
                <w:lang w:eastAsia="zh-CN"/>
              </w:rPr>
              <w:t>纳连扎寺</w:t>
            </w:r>
            <w:r>
              <w:rPr>
                <w:spacing w:val="-1"/>
              </w:rPr>
              <w:t>管委会</w:t>
            </w:r>
          </w:p>
        </w:tc>
      </w:tr>
      <w:tr>
        <w:trPr>
          <w:trHeight w:val="260"/>
        </w:trPr>
        <w:tc>
          <w:tcPr>
            <w:tcW w:w="1674" w:type="dxa"/>
            <w:gridSpan w:val="2"/>
            <w:vMerge w:val="restart"/>
            <w:tcBorders>
              <w:bottom w:val="nil"/>
            </w:tcBorders>
          </w:tcPr>
          <w:p>
            <w:pPr>
              <w:spacing w:line="329" w:lineRule="auto"/>
              <w:rPr>
                <w:rFonts w:ascii="Arial" w:hAnsi="Arial"/>
                <w:sz w:val="21"/>
              </w:rPr>
            </w:pPr>
          </w:p>
          <w:p>
            <w:pPr>
              <w:pStyle w:val="19"/>
              <w:spacing w:before="46" w:line="221" w:lineRule="auto"/>
              <w:ind w:left="185"/>
            </w:pPr>
            <w:r>
              <w:rPr>
                <w:spacing w:val="3"/>
              </w:rPr>
              <w:t>总体资金情况(万元)</w:t>
            </w:r>
          </w:p>
        </w:tc>
        <w:tc>
          <w:tcPr>
            <w:tcW w:w="1604" w:type="dxa"/>
            <w:vMerge w:val="restart"/>
            <w:tcBorders>
              <w:bottom w:val="nil"/>
            </w:tcBorders>
          </w:tcPr>
          <w:p>
            <w:pPr>
              <w:pStyle w:val="19"/>
              <w:spacing w:before="183" w:line="218" w:lineRule="auto"/>
              <w:ind w:left="392"/>
            </w:pPr>
            <w:r>
              <w:rPr>
                <w:b/>
                <w:bCs/>
                <w:spacing w:val="-3"/>
              </w:rPr>
              <w:t>预算支出总额</w:t>
            </w:r>
          </w:p>
        </w:tc>
        <w:tc>
          <w:tcPr>
            <w:tcW w:w="5023" w:type="dxa"/>
            <w:gridSpan w:val="5"/>
            <w:tcBorders>
              <w:left w:val="single" w:sz="4" w:space="0" w:color="000000"/>
            </w:tcBorders>
          </w:tcPr>
          <w:p>
            <w:pPr>
              <w:pStyle w:val="19"/>
              <w:spacing w:before="54" w:line="218" w:lineRule="auto"/>
              <w:ind w:left="2252"/>
            </w:pPr>
            <w:r>
              <w:rPr>
                <w:spacing w:val="4"/>
              </w:rPr>
              <w:t>基本支出</w:t>
            </w:r>
          </w:p>
        </w:tc>
        <w:tc>
          <w:tcPr>
            <w:tcW w:w="6009" w:type="dxa"/>
            <w:gridSpan w:val="6"/>
            <w:tcBorders>
              <w:left w:val="single" w:sz="4" w:space="0" w:color="000000"/>
            </w:tcBorders>
          </w:tcPr>
          <w:p>
            <w:pPr>
              <w:pStyle w:val="19"/>
              <w:spacing w:before="54" w:line="221" w:lineRule="auto"/>
              <w:ind w:left="2716"/>
            </w:pPr>
            <w:r>
              <w:rPr>
                <w:b/>
                <w:bCs/>
                <w:spacing w:val="1"/>
              </w:rPr>
              <w:t>项目支出</w:t>
            </w:r>
          </w:p>
        </w:tc>
      </w:tr>
      <w:tr>
        <w:trPr>
          <w:trHeight w:val="250"/>
        </w:trPr>
        <w:tc>
          <w:tcPr>
            <w:tcW w:w="1674" w:type="dxa"/>
            <w:gridSpan w:val="2"/>
            <w:vMerge/>
            <w:tcBorders>
              <w:top w:val="nil"/>
              <w:bottom w:val="nil"/>
            </w:tcBorders>
          </w:tcPr>
          <w:p/>
        </w:tc>
        <w:tc>
          <w:tcPr>
            <w:tcW w:w="1609" w:type="dxa"/>
            <w:vMerge/>
            <w:tcBorders>
              <w:top w:val="nil"/>
            </w:tcBorders>
          </w:tcPr>
          <w:p/>
        </w:tc>
        <w:tc>
          <w:tcPr>
            <w:tcW w:w="915" w:type="dxa"/>
            <w:tcBorders>
              <w:left w:val="single" w:sz="4" w:space="0" w:color="000000"/>
            </w:tcBorders>
          </w:tcPr>
          <w:p>
            <w:pPr>
              <w:pStyle w:val="19"/>
              <w:spacing w:before="56" w:line="221" w:lineRule="auto"/>
              <w:ind w:left="332"/>
            </w:pPr>
            <w:r>
              <w:rPr>
                <w:spacing w:val="-2"/>
              </w:rPr>
              <w:t>合计</w:t>
            </w:r>
          </w:p>
        </w:tc>
        <w:tc>
          <w:tcPr>
            <w:tcW w:w="899" w:type="dxa"/>
            <w:tcBorders>
              <w:left w:val="single" w:sz="4" w:space="0" w:color="000000"/>
            </w:tcBorders>
          </w:tcPr>
          <w:p>
            <w:pPr>
              <w:pStyle w:val="19"/>
              <w:spacing w:before="55" w:line="218" w:lineRule="auto"/>
              <w:ind w:left="172"/>
            </w:pPr>
            <w:r>
              <w:rPr>
                <w:spacing w:val="-2"/>
              </w:rPr>
              <w:t>财政拨款</w:t>
            </w:r>
          </w:p>
        </w:tc>
        <w:tc>
          <w:tcPr>
            <w:tcW w:w="1479" w:type="dxa"/>
            <w:tcBorders>
              <w:left w:val="single" w:sz="4" w:space="0" w:color="000000"/>
            </w:tcBorders>
          </w:tcPr>
          <w:p>
            <w:pPr>
              <w:pStyle w:val="19"/>
              <w:spacing w:before="56" w:line="221" w:lineRule="auto"/>
              <w:ind w:left="483"/>
            </w:pPr>
            <w:r>
              <w:rPr>
                <w:spacing w:val="-2"/>
              </w:rPr>
              <w:t>专户资金</w:t>
            </w:r>
          </w:p>
        </w:tc>
        <w:tc>
          <w:tcPr>
            <w:tcW w:w="1730" w:type="dxa"/>
            <w:gridSpan w:val="2"/>
            <w:tcBorders>
              <w:left w:val="single" w:sz="4" w:space="0" w:color="000000"/>
            </w:tcBorders>
          </w:tcPr>
          <w:p>
            <w:pPr>
              <w:pStyle w:val="19"/>
              <w:spacing w:before="56" w:line="221" w:lineRule="auto"/>
              <w:ind w:left="583"/>
            </w:pPr>
            <w:r>
              <w:rPr>
                <w:spacing w:val="-2"/>
              </w:rPr>
              <w:t>单位资金</w:t>
            </w:r>
          </w:p>
        </w:tc>
        <w:tc>
          <w:tcPr>
            <w:tcW w:w="1009" w:type="dxa"/>
            <w:tcBorders>
              <w:left w:val="single" w:sz="4" w:space="0" w:color="000000"/>
            </w:tcBorders>
          </w:tcPr>
          <w:p>
            <w:pPr>
              <w:pStyle w:val="19"/>
              <w:spacing w:before="56" w:line="221" w:lineRule="auto"/>
              <w:ind w:left="333"/>
            </w:pPr>
            <w:r>
              <w:rPr>
                <w:spacing w:val="-2"/>
              </w:rPr>
              <w:t>合计</w:t>
            </w:r>
          </w:p>
        </w:tc>
        <w:tc>
          <w:tcPr>
            <w:tcW w:w="1998" w:type="dxa"/>
            <w:gridSpan w:val="2"/>
            <w:tcBorders>
              <w:left w:val="single" w:sz="4" w:space="0" w:color="000000"/>
            </w:tcBorders>
          </w:tcPr>
          <w:p>
            <w:pPr>
              <w:pStyle w:val="19"/>
              <w:spacing w:before="55" w:line="218" w:lineRule="auto"/>
              <w:ind w:left="715"/>
            </w:pPr>
            <w:r>
              <w:rPr>
                <w:spacing w:val="-2"/>
              </w:rPr>
              <w:t>财政拨款</w:t>
            </w:r>
          </w:p>
        </w:tc>
        <w:tc>
          <w:tcPr>
            <w:tcW w:w="1988" w:type="dxa"/>
            <w:gridSpan w:val="2"/>
            <w:tcBorders>
              <w:left w:val="single" w:sz="4" w:space="0" w:color="000000"/>
            </w:tcBorders>
          </w:tcPr>
          <w:p>
            <w:pPr>
              <w:pStyle w:val="19"/>
              <w:spacing w:before="56" w:line="221" w:lineRule="auto"/>
              <w:ind w:left="757"/>
            </w:pPr>
            <w:r>
              <w:rPr>
                <w:spacing w:val="-2"/>
              </w:rPr>
              <w:t>专户资金</w:t>
            </w:r>
          </w:p>
        </w:tc>
        <w:tc>
          <w:tcPr>
            <w:tcW w:w="1014" w:type="dxa"/>
            <w:tcBorders>
              <w:left w:val="single" w:sz="4" w:space="0" w:color="000000"/>
            </w:tcBorders>
          </w:tcPr>
          <w:p>
            <w:pPr>
              <w:pStyle w:val="19"/>
              <w:spacing w:before="56" w:line="221" w:lineRule="auto"/>
              <w:ind w:left="269"/>
            </w:pPr>
            <w:r>
              <w:rPr>
                <w:spacing w:val="-2"/>
              </w:rPr>
              <w:t>单位资金</w:t>
            </w:r>
          </w:p>
        </w:tc>
      </w:tr>
      <w:tr>
        <w:trPr>
          <w:trHeight w:val="359"/>
        </w:trPr>
        <w:tc>
          <w:tcPr>
            <w:tcW w:w="1674" w:type="dxa"/>
            <w:gridSpan w:val="2"/>
            <w:vMerge/>
            <w:tcBorders>
              <w:top w:val="nil"/>
            </w:tcBorders>
          </w:tcPr>
          <w:p/>
        </w:tc>
        <w:tc>
          <w:tcPr>
            <w:tcW w:w="1604" w:type="dxa"/>
            <w:tcBorders>
              <w:left w:val="single" w:sz="4" w:space="0" w:color="000000"/>
            </w:tcBorders>
          </w:tcPr>
          <w:p>
            <w:pPr>
              <w:pStyle w:val="19"/>
              <w:spacing w:before="141" w:line="185" w:lineRule="auto"/>
              <w:ind w:left="1031"/>
              <w:rPr>
                <w:rFonts w:eastAsia="宋体"/>
                <w:sz w:val="10"/>
                <w:szCs w:val="10"/>
                <w:lang w:val="en-US" w:eastAsia="zh-CN"/>
              </w:rPr>
            </w:pPr>
            <w:r>
              <w:rPr>
                <w:rFonts w:ascii="仿宋_GB2312" w:eastAsia="仿宋_GB2312" w:cs="仿宋_GB2312"/>
                <w:sz w:val="10"/>
                <w:szCs w:val="10"/>
                <w:lang w:val="en-US" w:eastAsia="zh-CN"/>
              </w:rPr>
              <w:t>262.48</w:t>
            </w:r>
          </w:p>
        </w:tc>
        <w:tc>
          <w:tcPr>
            <w:tcW w:w="915" w:type="dxa"/>
            <w:tcBorders>
              <w:left w:val="single" w:sz="4" w:space="0" w:color="000000"/>
            </w:tcBorders>
          </w:tcPr>
          <w:p>
            <w:pPr>
              <w:rPr>
                <w:rFonts w:hint="eastAsia"/>
              </w:rPr>
            </w:pPr>
            <w:r>
              <w:rPr>
                <w:rFonts w:ascii="仿宋_GB2312" w:eastAsia="仿宋_GB2312" w:cs="仿宋_GB2312"/>
                <w:sz w:val="10"/>
                <w:szCs w:val="10"/>
                <w:lang w:val="en-US" w:eastAsia="zh-CN"/>
              </w:rPr>
              <w:t>262.48</w:t>
            </w:r>
          </w:p>
        </w:tc>
        <w:tc>
          <w:tcPr>
            <w:tcW w:w="899" w:type="dxa"/>
            <w:tcBorders>
              <w:left w:val="single" w:sz="4" w:space="0" w:color="000000"/>
            </w:tcBorders>
          </w:tcPr>
          <w:p>
            <w:pPr>
              <w:rPr>
                <w:rFonts w:hint="eastAsia"/>
              </w:rPr>
            </w:pPr>
            <w:r>
              <w:rPr>
                <w:rFonts w:ascii="仿宋_GB2312" w:eastAsia="仿宋_GB2312" w:cs="仿宋_GB2312"/>
                <w:sz w:val="10"/>
                <w:szCs w:val="10"/>
                <w:lang w:val="en-US" w:eastAsia="zh-CN"/>
              </w:rPr>
              <w:t>262.48</w:t>
            </w:r>
          </w:p>
        </w:tc>
        <w:tc>
          <w:tcPr>
            <w:tcW w:w="1479" w:type="dxa"/>
            <w:tcBorders>
              <w:left w:val="single" w:sz="4" w:space="0" w:color="000000"/>
            </w:tcBorders>
          </w:tcPr>
          <w:p>
            <w:pPr>
              <w:rPr>
                <w:rFonts w:ascii="Arial" w:hAnsi="Arial"/>
                <w:sz w:val="21"/>
              </w:rPr>
            </w:pPr>
          </w:p>
        </w:tc>
        <w:tc>
          <w:tcPr>
            <w:tcW w:w="1730" w:type="dxa"/>
            <w:gridSpan w:val="2"/>
            <w:tcBorders>
              <w:left w:val="single" w:sz="4" w:space="0" w:color="000000"/>
            </w:tcBorders>
          </w:tcPr>
          <w:p>
            <w:pPr>
              <w:rPr>
                <w:rFonts w:ascii="Arial" w:hAnsi="Arial"/>
                <w:sz w:val="21"/>
              </w:rPr>
            </w:pPr>
          </w:p>
        </w:tc>
        <w:tc>
          <w:tcPr>
            <w:tcW w:w="1009" w:type="dxa"/>
            <w:tcBorders>
              <w:left w:val="single" w:sz="4" w:space="0" w:color="000000"/>
            </w:tcBorders>
          </w:tcPr>
          <w:p>
            <w:pPr>
              <w:jc w:val="center"/>
              <w:rPr>
                <w:rFonts w:eastAsia="宋体" w:hint="eastAsia"/>
                <w:lang w:eastAsia="zh-CN"/>
              </w:rPr>
            </w:pPr>
          </w:p>
        </w:tc>
        <w:tc>
          <w:tcPr>
            <w:tcW w:w="1998" w:type="dxa"/>
            <w:gridSpan w:val="2"/>
            <w:tcBorders>
              <w:left w:val="single" w:sz="4" w:space="0" w:color="000000"/>
            </w:tcBorders>
          </w:tcPr>
          <w:p>
            <w:pPr>
              <w:jc w:val="center"/>
              <w:rPr>
                <w:rFonts w:eastAsia="宋体" w:hint="eastAsia"/>
                <w:lang w:eastAsia="zh-CN"/>
              </w:rPr>
            </w:pPr>
          </w:p>
        </w:tc>
        <w:tc>
          <w:tcPr>
            <w:tcW w:w="1988" w:type="dxa"/>
            <w:gridSpan w:val="2"/>
            <w:tcBorders>
              <w:left w:val="single" w:sz="4" w:space="0" w:color="000000"/>
            </w:tcBorders>
          </w:tcPr>
          <w:p>
            <w:pPr>
              <w:rPr>
                <w:rFonts w:ascii="Arial" w:hAnsi="Arial"/>
                <w:sz w:val="21"/>
              </w:rPr>
            </w:pPr>
          </w:p>
        </w:tc>
        <w:tc>
          <w:tcPr>
            <w:tcW w:w="1014" w:type="dxa"/>
            <w:tcBorders>
              <w:left w:val="single" w:sz="4" w:space="0" w:color="000000"/>
            </w:tcBorders>
          </w:tcPr>
          <w:p>
            <w:pPr>
              <w:rPr>
                <w:rFonts w:ascii="Arial" w:hAnsi="Arial"/>
                <w:sz w:val="21"/>
              </w:rPr>
            </w:pPr>
          </w:p>
        </w:tc>
      </w:tr>
      <w:tr>
        <w:trPr>
          <w:trHeight w:val="339"/>
        </w:trPr>
        <w:tc>
          <w:tcPr>
            <w:tcW w:w="605" w:type="dxa"/>
            <w:vMerge w:val="restart"/>
            <w:tcBorders>
              <w:bottom w:val="nil"/>
            </w:tcBorders>
          </w:tcPr>
          <w:p>
            <w:pPr>
              <w:spacing w:line="240"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pStyle w:val="19"/>
              <w:spacing w:before="46" w:line="182" w:lineRule="auto"/>
              <w:ind w:left="175"/>
            </w:pPr>
            <w:r>
              <w:t>部</w:t>
            </w:r>
          </w:p>
        </w:tc>
        <w:tc>
          <w:tcPr>
            <w:tcW w:w="1069" w:type="dxa"/>
            <w:vMerge w:val="restart"/>
            <w:tcBorders>
              <w:bottom w:val="nil"/>
            </w:tcBorders>
          </w:tcPr>
          <w:p>
            <w:pPr>
              <w:spacing w:line="295" w:lineRule="auto"/>
              <w:rPr>
                <w:rFonts w:ascii="Arial" w:hAnsi="Arial"/>
                <w:sz w:val="21"/>
              </w:rPr>
            </w:pPr>
          </w:p>
          <w:p>
            <w:pPr>
              <w:spacing w:line="295" w:lineRule="auto"/>
              <w:rPr>
                <w:rFonts w:ascii="Arial" w:hAnsi="Arial"/>
                <w:sz w:val="21"/>
              </w:rPr>
            </w:pPr>
          </w:p>
          <w:p>
            <w:pPr>
              <w:pStyle w:val="19"/>
              <w:spacing w:before="45" w:line="221" w:lineRule="auto"/>
              <w:ind w:left="150"/>
            </w:pPr>
            <w:r>
              <w:rPr>
                <w:spacing w:val="-1"/>
              </w:rPr>
              <w:t>整体绩效目标</w:t>
            </w:r>
          </w:p>
        </w:tc>
        <w:tc>
          <w:tcPr>
            <w:tcW w:w="6627" w:type="dxa"/>
            <w:gridSpan w:val="6"/>
            <w:tcBorders>
              <w:left w:val="single" w:sz="4" w:space="0" w:color="000000"/>
            </w:tcBorders>
          </w:tcPr>
          <w:p>
            <w:pPr>
              <w:pStyle w:val="19"/>
              <w:spacing w:before="95" w:line="221" w:lineRule="auto"/>
              <w:ind w:left="3033"/>
            </w:pPr>
            <w:r>
              <w:rPr>
                <w:b/>
                <w:bCs/>
                <w:spacing w:val="-3"/>
              </w:rPr>
              <w:t>预期目标</w:t>
            </w:r>
          </w:p>
        </w:tc>
        <w:tc>
          <w:tcPr>
            <w:tcW w:w="6009" w:type="dxa"/>
            <w:gridSpan w:val="6"/>
            <w:tcBorders>
              <w:left w:val="single" w:sz="4" w:space="0" w:color="000000"/>
            </w:tcBorders>
          </w:tcPr>
          <w:p>
            <w:pPr>
              <w:pStyle w:val="19"/>
              <w:spacing w:before="94" w:line="218" w:lineRule="auto"/>
              <w:ind w:left="2576"/>
            </w:pPr>
            <w:r>
              <w:rPr>
                <w:b/>
                <w:bCs/>
                <w:spacing w:val="-3"/>
              </w:rPr>
              <w:t>实际完成情况</w:t>
            </w:r>
          </w:p>
        </w:tc>
      </w:tr>
      <w:tr>
        <w:trPr>
          <w:trHeight w:val="1059"/>
        </w:trPr>
        <w:tc>
          <w:tcPr>
            <w:tcW w:w="605" w:type="dxa"/>
            <w:vMerge/>
            <w:tcBorders>
              <w:top w:val="nil"/>
              <w:bottom w:val="nil"/>
            </w:tcBorders>
          </w:tcPr>
          <w:p/>
        </w:tc>
        <w:tc>
          <w:tcPr>
            <w:tcW w:w="1069" w:type="dxa"/>
            <w:vMerge/>
            <w:tcBorders>
              <w:top w:val="nil"/>
            </w:tcBorders>
          </w:tcPr>
          <w:p/>
        </w:tc>
        <w:tc>
          <w:tcPr>
            <w:tcW w:w="6627" w:type="dxa"/>
            <w:gridSpan w:val="6"/>
            <w:tcBorders>
              <w:left w:val="single" w:sz="4" w:space="0" w:color="000000"/>
            </w:tcBorders>
            <w:shd w:val="clear" w:color="auto" w:fill="828485"/>
          </w:tcPr>
          <w:p>
            <w:pPr>
              <w:rPr>
                <w:spacing w:val="-10"/>
                <w:sz w:val="10"/>
                <w:szCs w:val="10"/>
              </w:rPr>
            </w:pPr>
            <w:r>
              <w:rPr>
                <w:spacing w:val="-4"/>
                <w:sz w:val="10"/>
                <w:szCs w:val="10"/>
              </w:rPr>
              <w:t>强化财政资源统筹，主动服务保障大事要事；强化基本民</w:t>
            </w:r>
            <w:r>
              <w:rPr>
                <w:spacing w:val="1"/>
                <w:sz w:val="10"/>
                <w:szCs w:val="10"/>
              </w:rPr>
              <w:t xml:space="preserve"> </w:t>
            </w:r>
            <w:r>
              <w:rPr>
                <w:spacing w:val="-6"/>
                <w:sz w:val="10"/>
                <w:szCs w:val="10"/>
              </w:rPr>
              <w:t>生兜底，坚定不移增进民生福祉；强化风险防范化解，牢牢守</w:t>
            </w:r>
            <w:r>
              <w:rPr>
                <w:spacing w:val="7"/>
                <w:sz w:val="10"/>
                <w:szCs w:val="10"/>
              </w:rPr>
              <w:t xml:space="preserve"> </w:t>
            </w:r>
            <w:r>
              <w:rPr>
                <w:spacing w:val="-18"/>
                <w:sz w:val="10"/>
                <w:szCs w:val="10"/>
              </w:rPr>
              <w:t>住财政风险底线；强化改革创新攻坚，不断健全现代预</w:t>
            </w:r>
            <w:r>
              <w:rPr>
                <w:spacing w:val="-19"/>
                <w:sz w:val="10"/>
                <w:szCs w:val="10"/>
              </w:rPr>
              <w:t>算制度；</w:t>
            </w:r>
            <w:r>
              <w:rPr>
                <w:spacing w:val="-5"/>
                <w:sz w:val="10"/>
                <w:szCs w:val="10"/>
              </w:rPr>
              <w:t>强化过紧日子要求，切实增强财政可持续性</w:t>
            </w:r>
            <w:r>
              <w:rPr>
                <w:spacing w:val="-6"/>
                <w:sz w:val="10"/>
                <w:szCs w:val="10"/>
              </w:rPr>
              <w:t>；强化财经纪律约</w:t>
            </w:r>
            <w:r>
              <w:rPr>
                <w:sz w:val="10"/>
                <w:szCs w:val="10"/>
              </w:rPr>
              <w:t xml:space="preserve"> </w:t>
            </w:r>
            <w:r>
              <w:rPr>
                <w:spacing w:val="-6"/>
                <w:sz w:val="10"/>
                <w:szCs w:val="10"/>
              </w:rPr>
              <w:t>束，全面提升财政治理效能；完成预算管理、国库管理、政策</w:t>
            </w:r>
            <w:r>
              <w:rPr>
                <w:spacing w:val="15"/>
                <w:sz w:val="10"/>
                <w:szCs w:val="10"/>
              </w:rPr>
              <w:t xml:space="preserve"> </w:t>
            </w:r>
            <w:r>
              <w:rPr>
                <w:spacing w:val="-5"/>
                <w:sz w:val="10"/>
                <w:szCs w:val="10"/>
              </w:rPr>
              <w:t>管理、会计管理、财政监督、国资管理等管理任务；</w:t>
            </w:r>
            <w:r>
              <w:rPr>
                <w:spacing w:val="-6"/>
                <w:sz w:val="10"/>
                <w:szCs w:val="10"/>
              </w:rPr>
              <w:t>落实党中</w:t>
            </w:r>
            <w:r>
              <w:rPr>
                <w:sz w:val="10"/>
                <w:szCs w:val="10"/>
              </w:rPr>
              <w:t xml:space="preserve"> </w:t>
            </w:r>
            <w:r>
              <w:rPr>
                <w:spacing w:val="-5"/>
                <w:sz w:val="10"/>
                <w:szCs w:val="10"/>
              </w:rPr>
              <w:t>央对西藏干部职工的关心关怀，提高驻寺干部工作的积极性，</w:t>
            </w:r>
            <w:r>
              <w:rPr>
                <w:spacing w:val="6"/>
                <w:sz w:val="10"/>
                <w:szCs w:val="10"/>
              </w:rPr>
              <w:t xml:space="preserve"> </w:t>
            </w:r>
            <w:r>
              <w:rPr>
                <w:spacing w:val="-5"/>
                <w:sz w:val="10"/>
                <w:szCs w:val="10"/>
              </w:rPr>
              <w:t>保障我区统战事业健康稳健发展；保证管委会良好的办公</w:t>
            </w:r>
            <w:r>
              <w:rPr>
                <w:spacing w:val="6"/>
                <w:sz w:val="10"/>
                <w:szCs w:val="10"/>
              </w:rPr>
              <w:t xml:space="preserve"> </w:t>
            </w:r>
            <w:r>
              <w:rPr>
                <w:spacing w:val="-10"/>
                <w:sz w:val="10"/>
                <w:szCs w:val="10"/>
              </w:rPr>
              <w:t>环境，营造积极向上的工作氛围，保障管委会关正常运转。</w:t>
            </w:r>
          </w:p>
        </w:tc>
        <w:tc>
          <w:tcPr>
            <w:tcW w:w="6009" w:type="dxa"/>
            <w:gridSpan w:val="6"/>
            <w:tcBorders>
              <w:left w:val="single" w:sz="4" w:space="0" w:color="000000"/>
            </w:tcBorders>
          </w:tcPr>
          <w:p>
            <w:pPr>
              <w:pStyle w:val="19"/>
              <w:spacing w:before="47" w:line="218" w:lineRule="auto"/>
              <w:ind w:left="24"/>
            </w:pPr>
            <w:r>
              <w:t>已完成年初既定目标。</w:t>
            </w:r>
          </w:p>
        </w:tc>
      </w:tr>
      <w:tr>
        <w:trPr>
          <w:trHeight w:val="359"/>
        </w:trPr>
        <w:tc>
          <w:tcPr>
            <w:tcW w:w="605" w:type="dxa"/>
            <w:vMerge/>
            <w:tcBorders>
              <w:top w:val="nil"/>
              <w:bottom w:val="nil"/>
            </w:tcBorders>
          </w:tcPr>
          <w:p/>
        </w:tc>
        <w:tc>
          <w:tcPr>
            <w:tcW w:w="13705" w:type="dxa"/>
            <w:gridSpan w:val="13"/>
            <w:tcBorders>
              <w:left w:val="single" w:sz="4" w:space="0" w:color="000000"/>
            </w:tcBorders>
          </w:tcPr>
          <w:p>
            <w:pPr>
              <w:pStyle w:val="19"/>
              <w:spacing w:before="136" w:line="218" w:lineRule="auto"/>
              <w:ind w:left="6432"/>
            </w:pPr>
            <w:r>
              <w:rPr>
                <w:b/>
                <w:bCs/>
                <w:spacing w:val="-3"/>
              </w:rPr>
              <w:t>年度绩效指标</w:t>
            </w:r>
          </w:p>
        </w:tc>
      </w:tr>
      <w:tr>
        <w:trPr>
          <w:trHeight w:val="240"/>
        </w:trPr>
        <w:tc>
          <w:tcPr>
            <w:tcW w:w="605" w:type="dxa"/>
            <w:vMerge/>
            <w:tcBorders>
              <w:top w:val="nil"/>
              <w:bottom w:val="nil"/>
            </w:tcBorders>
          </w:tcPr>
          <w:p/>
        </w:tc>
        <w:tc>
          <w:tcPr>
            <w:tcW w:w="1069" w:type="dxa"/>
            <w:tcBorders>
              <w:left w:val="single" w:sz="4" w:space="0" w:color="000000"/>
            </w:tcBorders>
          </w:tcPr>
          <w:p>
            <w:pPr>
              <w:pStyle w:val="19"/>
              <w:spacing w:before="50" w:line="221" w:lineRule="auto"/>
              <w:ind w:left="390"/>
            </w:pPr>
            <w:r>
              <w:rPr>
                <w:spacing w:val="-2"/>
              </w:rPr>
              <w:t>活动</w:t>
            </w:r>
          </w:p>
        </w:tc>
        <w:tc>
          <w:tcPr>
            <w:tcW w:w="1604" w:type="dxa"/>
            <w:tcBorders>
              <w:left w:val="single" w:sz="4" w:space="0" w:color="000000"/>
            </w:tcBorders>
          </w:tcPr>
          <w:p>
            <w:pPr>
              <w:pStyle w:val="19"/>
              <w:spacing w:before="47" w:line="218" w:lineRule="auto"/>
              <w:ind w:left="693"/>
            </w:pPr>
            <w:r>
              <w:rPr>
                <w:b/>
                <w:bCs/>
                <w:spacing w:val="-3"/>
              </w:rPr>
              <w:t>任务</w:t>
            </w:r>
          </w:p>
        </w:tc>
        <w:tc>
          <w:tcPr>
            <w:tcW w:w="915" w:type="dxa"/>
            <w:tcBorders>
              <w:left w:val="single" w:sz="4" w:space="0" w:color="000000"/>
            </w:tcBorders>
          </w:tcPr>
          <w:p>
            <w:pPr>
              <w:pStyle w:val="19"/>
              <w:spacing w:before="48" w:line="221" w:lineRule="auto"/>
              <w:ind w:left="204"/>
            </w:pPr>
            <w:r>
              <w:rPr>
                <w:b/>
                <w:bCs/>
                <w:spacing w:val="-4"/>
              </w:rPr>
              <w:t>一级指标</w:t>
            </w:r>
          </w:p>
        </w:tc>
        <w:tc>
          <w:tcPr>
            <w:tcW w:w="899" w:type="dxa"/>
            <w:tcBorders>
              <w:left w:val="single" w:sz="4" w:space="0" w:color="000000"/>
            </w:tcBorders>
          </w:tcPr>
          <w:p>
            <w:pPr>
              <w:pStyle w:val="19"/>
              <w:spacing w:before="48" w:line="221" w:lineRule="auto"/>
              <w:ind w:left="174"/>
            </w:pPr>
            <w:r>
              <w:rPr>
                <w:b/>
                <w:bCs/>
                <w:spacing w:val="-3"/>
              </w:rPr>
              <w:t>二级指标</w:t>
            </w:r>
          </w:p>
        </w:tc>
        <w:tc>
          <w:tcPr>
            <w:tcW w:w="1479" w:type="dxa"/>
            <w:tcBorders>
              <w:left w:val="single" w:sz="4" w:space="0" w:color="000000"/>
            </w:tcBorders>
          </w:tcPr>
          <w:p>
            <w:pPr>
              <w:pStyle w:val="19"/>
              <w:spacing w:before="48" w:line="221" w:lineRule="auto"/>
              <w:ind w:left="515"/>
            </w:pPr>
            <w:r>
              <w:rPr>
                <w:b/>
                <w:bCs/>
                <w:spacing w:val="-3"/>
              </w:rPr>
              <w:t>三级指标</w:t>
            </w:r>
          </w:p>
        </w:tc>
        <w:tc>
          <w:tcPr>
            <w:tcW w:w="890" w:type="dxa"/>
            <w:tcBorders>
              <w:left w:val="single" w:sz="4" w:space="0" w:color="000000"/>
            </w:tcBorders>
          </w:tcPr>
          <w:p>
            <w:pPr>
              <w:pStyle w:val="19"/>
              <w:spacing w:before="48" w:line="221" w:lineRule="auto"/>
              <w:ind w:left="36"/>
            </w:pPr>
            <w:r>
              <w:rPr>
                <w:b/>
                <w:bCs/>
                <w:spacing w:val="-3"/>
              </w:rPr>
              <w:t>绩效指标性质</w:t>
            </w:r>
          </w:p>
        </w:tc>
        <w:tc>
          <w:tcPr>
            <w:tcW w:w="840" w:type="dxa"/>
            <w:tcBorders>
              <w:left w:val="single" w:sz="4" w:space="0" w:color="000000"/>
            </w:tcBorders>
          </w:tcPr>
          <w:p>
            <w:pPr>
              <w:pStyle w:val="19"/>
              <w:spacing w:before="47" w:line="218" w:lineRule="auto"/>
              <w:ind w:left="56"/>
            </w:pPr>
            <w:r>
              <w:rPr>
                <w:b/>
                <w:bCs/>
                <w:spacing w:val="-3"/>
              </w:rPr>
              <w:t>绩效指标值</w:t>
            </w:r>
          </w:p>
        </w:tc>
        <w:tc>
          <w:tcPr>
            <w:tcW w:w="1009" w:type="dxa"/>
            <w:tcBorders>
              <w:left w:val="single" w:sz="4" w:space="0" w:color="000000"/>
            </w:tcBorders>
          </w:tcPr>
          <w:p>
            <w:pPr>
              <w:pStyle w:val="19"/>
              <w:spacing w:before="48" w:line="221" w:lineRule="auto"/>
              <w:ind w:left="126"/>
            </w:pPr>
            <w:r>
              <w:rPr>
                <w:b/>
                <w:bCs/>
                <w:spacing w:val="-3"/>
              </w:rPr>
              <w:t>绩效度量单位</w:t>
            </w:r>
          </w:p>
        </w:tc>
        <w:tc>
          <w:tcPr>
            <w:tcW w:w="999" w:type="dxa"/>
            <w:tcBorders>
              <w:left w:val="single" w:sz="4" w:space="0" w:color="000000"/>
            </w:tcBorders>
          </w:tcPr>
          <w:p>
            <w:pPr>
              <w:pStyle w:val="19"/>
              <w:spacing w:before="29" w:line="194" w:lineRule="auto"/>
              <w:jc w:val="right"/>
              <w:rPr>
                <w:sz w:val="19"/>
                <w:szCs w:val="19"/>
              </w:rPr>
            </w:pPr>
            <w:r>
              <w:rPr>
                <w:b/>
                <w:bCs/>
                <w:spacing w:val="-17"/>
                <w:sz w:val="19"/>
                <w:szCs w:val="19"/>
              </w:rPr>
              <w:t>权重(分值)</w:t>
            </w:r>
          </w:p>
        </w:tc>
        <w:tc>
          <w:tcPr>
            <w:tcW w:w="999" w:type="dxa"/>
            <w:tcBorders>
              <w:left w:val="single" w:sz="4" w:space="0" w:color="000000"/>
            </w:tcBorders>
          </w:tcPr>
          <w:p>
            <w:pPr>
              <w:pStyle w:val="19"/>
              <w:spacing w:before="47" w:line="218" w:lineRule="auto"/>
              <w:ind w:left="228"/>
            </w:pPr>
            <w:r>
              <w:rPr>
                <w:b/>
                <w:bCs/>
                <w:spacing w:val="-3"/>
              </w:rPr>
              <w:t>完成情况</w:t>
            </w:r>
          </w:p>
        </w:tc>
        <w:tc>
          <w:tcPr>
            <w:tcW w:w="1009" w:type="dxa"/>
            <w:tcBorders>
              <w:left w:val="single" w:sz="4" w:space="0" w:color="000000"/>
            </w:tcBorders>
          </w:tcPr>
          <w:p>
            <w:pPr>
              <w:pStyle w:val="19"/>
              <w:spacing w:before="47" w:line="218" w:lineRule="auto"/>
              <w:ind w:left="378"/>
            </w:pPr>
            <w:r>
              <w:rPr>
                <w:b/>
                <w:bCs/>
                <w:spacing w:val="-3"/>
              </w:rPr>
              <w:t>得分</w:t>
            </w:r>
          </w:p>
        </w:tc>
        <w:tc>
          <w:tcPr>
            <w:tcW w:w="1993" w:type="dxa"/>
            <w:gridSpan w:val="2"/>
            <w:tcBorders>
              <w:left w:val="single" w:sz="4" w:space="0" w:color="000000"/>
            </w:tcBorders>
          </w:tcPr>
          <w:p>
            <w:pPr>
              <w:pStyle w:val="19"/>
              <w:spacing w:before="49" w:line="218" w:lineRule="auto"/>
              <w:ind w:left="528"/>
            </w:pPr>
            <w:r>
              <w:rPr>
                <w:spacing w:val="-1"/>
              </w:rPr>
              <w:t>未完成原因分析</w:t>
            </w:r>
          </w:p>
        </w:tc>
      </w:tr>
      <w:tr>
        <w:trPr>
          <w:trHeight w:val="498"/>
        </w:trPr>
        <w:tc>
          <w:tcPr>
            <w:tcW w:w="605" w:type="dxa"/>
            <w:vMerge/>
            <w:tcBorders>
              <w:top w:val="nil"/>
              <w:bottom w:val="nil"/>
            </w:tcBorders>
          </w:tcPr>
          <w:p/>
        </w:tc>
        <w:tc>
          <w:tcPr>
            <w:tcW w:w="1069" w:type="dxa"/>
            <w:vMerge w:val="restart"/>
            <w:tcBorders>
              <w:bottom w:val="nil"/>
            </w:tcBorders>
          </w:tcPr>
          <w:p>
            <w:pPr>
              <w:spacing w:line="300" w:lineRule="auto"/>
              <w:rPr>
                <w:rFonts w:ascii="Arial" w:hAnsi="Arial"/>
                <w:sz w:val="21"/>
              </w:rPr>
            </w:pPr>
          </w:p>
          <w:p>
            <w:pPr>
              <w:pStyle w:val="19"/>
              <w:spacing w:before="46" w:line="209" w:lineRule="auto"/>
              <w:ind w:left="10"/>
            </w:pPr>
            <w:r>
              <w:rPr>
                <w:spacing w:val="-1"/>
              </w:rPr>
              <w:t>10-其他事务/16-</w:t>
            </w:r>
            <w:r>
              <w:rPr>
                <w:spacing w:val="8"/>
              </w:rPr>
              <w:t xml:space="preserve"> </w:t>
            </w:r>
            <w:r>
              <w:rPr>
                <w:spacing w:val="-2"/>
              </w:rPr>
              <w:t>代理银行手续费</w:t>
            </w:r>
          </w:p>
        </w:tc>
        <w:tc>
          <w:tcPr>
            <w:tcW w:w="1604" w:type="dxa"/>
            <w:vMerge w:val="restart"/>
            <w:tcBorders>
              <w:bottom w:val="nil"/>
            </w:tcBorders>
          </w:tcPr>
          <w:p>
            <w:pPr>
              <w:spacing w:line="391" w:lineRule="auto"/>
              <w:rPr>
                <w:rFonts w:ascii="Arial" w:hAnsi="Arial"/>
                <w:sz w:val="21"/>
              </w:rPr>
            </w:pPr>
          </w:p>
          <w:p>
            <w:pPr>
              <w:pStyle w:val="19"/>
              <w:spacing w:before="46" w:line="218" w:lineRule="auto"/>
              <w:jc w:val="right"/>
            </w:pPr>
            <w:r>
              <w:rPr>
                <w:spacing w:val="-8"/>
              </w:rPr>
              <w:t>准确、及时完成代理业务。</w:t>
            </w:r>
          </w:p>
        </w:tc>
        <w:tc>
          <w:tcPr>
            <w:tcW w:w="915" w:type="dxa"/>
            <w:vMerge w:val="restart"/>
            <w:tcBorders>
              <w:bottom w:val="nil"/>
            </w:tcBorders>
          </w:tcPr>
          <w:p>
            <w:pPr>
              <w:spacing w:line="391" w:lineRule="auto"/>
              <w:rPr>
                <w:rFonts w:ascii="Arial" w:hAnsi="Arial"/>
                <w:sz w:val="21"/>
              </w:rPr>
            </w:pPr>
          </w:p>
          <w:p>
            <w:pPr>
              <w:pStyle w:val="19"/>
              <w:spacing w:before="46" w:line="218" w:lineRule="auto"/>
              <w:ind w:left="41"/>
            </w:pPr>
            <w:r>
              <w:rPr>
                <w:spacing w:val="-2"/>
              </w:rPr>
              <w:t>产出指标</w:t>
            </w:r>
          </w:p>
        </w:tc>
        <w:tc>
          <w:tcPr>
            <w:tcW w:w="899" w:type="dxa"/>
            <w:tcBorders>
              <w:left w:val="single" w:sz="4" w:space="0" w:color="000000"/>
            </w:tcBorders>
          </w:tcPr>
          <w:p>
            <w:pPr>
              <w:pStyle w:val="19"/>
              <w:spacing w:before="180" w:line="221" w:lineRule="auto"/>
              <w:ind w:left="22"/>
            </w:pPr>
            <w:r>
              <w:rPr>
                <w:spacing w:val="-2"/>
              </w:rPr>
              <w:t>质量指标</w:t>
            </w:r>
          </w:p>
        </w:tc>
        <w:tc>
          <w:tcPr>
            <w:tcW w:w="1479" w:type="dxa"/>
            <w:tcBorders>
              <w:left w:val="single" w:sz="4" w:space="0" w:color="000000"/>
            </w:tcBorders>
            <w:shd w:val="clear" w:color="auto" w:fill="626465"/>
          </w:tcPr>
          <w:p>
            <w:pPr>
              <w:pStyle w:val="19"/>
              <w:spacing w:before="119" w:line="216" w:lineRule="auto"/>
              <w:ind w:left="32" w:hanging="19"/>
            </w:pPr>
            <w:r>
              <w:rPr>
                <w:color w:val="FFFFFF"/>
                <w:spacing w:val="-8"/>
              </w:rPr>
              <w:t>反馈信息的及时性、信息</w:t>
            </w:r>
            <w:r>
              <w:rPr>
                <w:color w:val="FFFFFF"/>
                <w:spacing w:val="2"/>
              </w:rPr>
              <w:t xml:space="preserve"> </w:t>
            </w:r>
            <w:r>
              <w:rPr>
                <w:color w:val="FFFFFF"/>
                <w:spacing w:val="-14"/>
              </w:rPr>
              <w:t>要素的完整性和准确性</w:t>
            </w:r>
            <w:r>
              <w:rPr>
                <w:spacing w:val="-14"/>
              </w:rPr>
              <w:t>。</w:t>
            </w:r>
          </w:p>
        </w:tc>
        <w:tc>
          <w:tcPr>
            <w:tcW w:w="890" w:type="dxa"/>
            <w:tcBorders>
              <w:left w:val="single" w:sz="4" w:space="0" w:color="000000"/>
            </w:tcBorders>
          </w:tcPr>
          <w:p>
            <w:pPr>
              <w:pStyle w:val="19"/>
              <w:spacing w:before="233" w:line="238" w:lineRule="auto"/>
              <w:ind w:left="34"/>
            </w:pPr>
            <w:r>
              <w:t>≥</w:t>
            </w:r>
          </w:p>
        </w:tc>
        <w:tc>
          <w:tcPr>
            <w:tcW w:w="840" w:type="dxa"/>
            <w:tcBorders>
              <w:left w:val="single" w:sz="4" w:space="0" w:color="000000"/>
            </w:tcBorders>
          </w:tcPr>
          <w:p>
            <w:pPr>
              <w:pStyle w:val="19"/>
              <w:spacing w:before="265" w:line="182" w:lineRule="auto"/>
              <w:ind w:left="54"/>
            </w:pPr>
            <w:r>
              <w:rPr>
                <w:spacing w:val="-2"/>
              </w:rPr>
              <w:t>90</w:t>
            </w:r>
          </w:p>
        </w:tc>
        <w:tc>
          <w:tcPr>
            <w:tcW w:w="1009" w:type="dxa"/>
            <w:tcBorders>
              <w:left w:val="single" w:sz="4" w:space="0" w:color="000000"/>
            </w:tcBorders>
          </w:tcPr>
          <w:p>
            <w:pPr>
              <w:rPr>
                <w:rFonts w:ascii="Arial" w:hAnsi="Arial"/>
                <w:sz w:val="21"/>
              </w:rPr>
            </w:pPr>
          </w:p>
        </w:tc>
        <w:tc>
          <w:tcPr>
            <w:tcW w:w="999" w:type="dxa"/>
            <w:tcBorders>
              <w:left w:val="single" w:sz="4" w:space="0" w:color="000000"/>
            </w:tcBorders>
          </w:tcPr>
          <w:p>
            <w:pPr>
              <w:rPr>
                <w:rFonts w:ascii="Arial" w:hAnsi="Arial"/>
                <w:sz w:val="21"/>
              </w:rPr>
            </w:pPr>
          </w:p>
        </w:tc>
        <w:tc>
          <w:tcPr>
            <w:tcW w:w="999" w:type="dxa"/>
            <w:tcBorders>
              <w:left w:val="single" w:sz="4" w:space="0" w:color="000000"/>
            </w:tcBorders>
          </w:tcPr>
          <w:p>
            <w:pPr>
              <w:pStyle w:val="19"/>
              <w:spacing w:before="215" w:line="185" w:lineRule="auto"/>
              <w:ind w:left="66"/>
            </w:pPr>
            <w:r>
              <w:rPr>
                <w:spacing w:val="-3"/>
              </w:rPr>
              <w:t>100%</w:t>
            </w:r>
          </w:p>
        </w:tc>
        <w:tc>
          <w:tcPr>
            <w:tcW w:w="1009" w:type="dxa"/>
            <w:tcBorders>
              <w:left w:val="single" w:sz="4" w:space="0" w:color="000000"/>
            </w:tcBorders>
          </w:tcPr>
          <w:p>
            <w:pPr>
              <w:pStyle w:val="19"/>
              <w:spacing w:before="96" w:line="182" w:lineRule="auto"/>
              <w:ind w:left="17"/>
            </w:pPr>
            <w:r>
              <w:t>5</w:t>
            </w:r>
          </w:p>
        </w:tc>
        <w:tc>
          <w:tcPr>
            <w:tcW w:w="1993" w:type="dxa"/>
            <w:gridSpan w:val="2"/>
            <w:tcBorders>
              <w:left w:val="single" w:sz="4" w:space="0" w:color="000000"/>
            </w:tcBorders>
          </w:tcPr>
          <w:p>
            <w:pPr>
              <w:rPr>
                <w:rFonts w:ascii="Arial" w:hAnsi="Arial"/>
                <w:sz w:val="21"/>
              </w:rPr>
            </w:pPr>
          </w:p>
        </w:tc>
      </w:tr>
      <w:tr>
        <w:trPr>
          <w:trHeight w:val="498"/>
        </w:trPr>
        <w:tc>
          <w:tcPr>
            <w:tcW w:w="605" w:type="dxa"/>
            <w:vMerge/>
            <w:tcBorders>
              <w:top w:val="nil"/>
              <w:bottom w:val="nil"/>
            </w:tcBorders>
          </w:tcPr>
          <w:p/>
        </w:tc>
        <w:tc>
          <w:tcPr>
            <w:tcW w:w="1069" w:type="dxa"/>
            <w:vMerge/>
            <w:tcBorders>
              <w:top w:val="nil"/>
            </w:tcBorders>
          </w:tcPr>
          <w:p/>
        </w:tc>
        <w:tc>
          <w:tcPr>
            <w:tcW w:w="1609" w:type="dxa"/>
            <w:vMerge/>
            <w:tcBorders>
              <w:top w:val="nil"/>
            </w:tcBorders>
          </w:tcPr>
          <w:p/>
        </w:tc>
        <w:tc>
          <w:tcPr>
            <w:tcW w:w="910" w:type="dxa"/>
            <w:vMerge/>
            <w:tcBorders>
              <w:top w:val="nil"/>
            </w:tcBorders>
          </w:tcPr>
          <w:p/>
        </w:tc>
        <w:tc>
          <w:tcPr>
            <w:tcW w:w="899" w:type="dxa"/>
            <w:tcBorders>
              <w:left w:val="single" w:sz="4" w:space="0" w:color="000000"/>
            </w:tcBorders>
          </w:tcPr>
          <w:p>
            <w:pPr>
              <w:pStyle w:val="19"/>
              <w:spacing w:before="181" w:line="221" w:lineRule="auto"/>
              <w:ind w:left="22"/>
            </w:pPr>
            <w:r>
              <w:rPr>
                <w:spacing w:val="-3"/>
              </w:rPr>
              <w:t>时效指标</w:t>
            </w:r>
          </w:p>
        </w:tc>
        <w:tc>
          <w:tcPr>
            <w:tcW w:w="1479" w:type="dxa"/>
            <w:tcBorders>
              <w:left w:val="single" w:sz="4" w:space="0" w:color="000000"/>
            </w:tcBorders>
          </w:tcPr>
          <w:p>
            <w:pPr>
              <w:pStyle w:val="19"/>
              <w:spacing w:before="180" w:line="218" w:lineRule="auto"/>
              <w:jc w:val="right"/>
            </w:pPr>
            <w:r>
              <w:rPr>
                <w:spacing w:val="-10"/>
              </w:rPr>
              <w:t>资金</w:t>
            </w:r>
            <w:r>
              <w:rPr>
                <w:spacing w:val="-9"/>
              </w:rPr>
              <w:t>汇划、结算的及时</w:t>
            </w:r>
            <w:r>
              <w:rPr>
                <w:spacing w:val="-7"/>
              </w:rPr>
              <w:t>率</w:t>
            </w:r>
          </w:p>
        </w:tc>
        <w:tc>
          <w:tcPr>
            <w:tcW w:w="890" w:type="dxa"/>
            <w:tcBorders>
              <w:left w:val="single" w:sz="4" w:space="0" w:color="000000"/>
            </w:tcBorders>
          </w:tcPr>
          <w:p>
            <w:pPr>
              <w:pStyle w:val="19"/>
              <w:spacing w:before="194" w:line="238" w:lineRule="auto"/>
              <w:ind w:left="34"/>
            </w:pPr>
            <w:r>
              <w:t>≥</w:t>
            </w:r>
          </w:p>
        </w:tc>
        <w:tc>
          <w:tcPr>
            <w:tcW w:w="840" w:type="dxa"/>
            <w:tcBorders>
              <w:left w:val="single" w:sz="4" w:space="0" w:color="000000"/>
            </w:tcBorders>
          </w:tcPr>
          <w:p>
            <w:pPr>
              <w:pStyle w:val="19"/>
              <w:spacing w:before="266" w:line="182" w:lineRule="auto"/>
              <w:ind w:left="54"/>
            </w:pPr>
            <w:r>
              <w:rPr>
                <w:spacing w:val="-2"/>
              </w:rPr>
              <w:t>90</w:t>
            </w:r>
          </w:p>
        </w:tc>
        <w:tc>
          <w:tcPr>
            <w:tcW w:w="1009" w:type="dxa"/>
            <w:tcBorders>
              <w:left w:val="single" w:sz="4" w:space="0" w:color="000000"/>
            </w:tcBorders>
          </w:tcPr>
          <w:p>
            <w:pPr>
              <w:pStyle w:val="19"/>
              <w:spacing w:before="194"/>
              <w:ind w:left="33"/>
            </w:pPr>
            <w:r>
              <w:t>%</w:t>
            </w:r>
          </w:p>
        </w:tc>
        <w:tc>
          <w:tcPr>
            <w:tcW w:w="999" w:type="dxa"/>
            <w:tcBorders>
              <w:left w:val="single" w:sz="4" w:space="0" w:color="000000"/>
            </w:tcBorders>
          </w:tcPr>
          <w:p>
            <w:pPr>
              <w:pStyle w:val="19"/>
              <w:spacing w:before="212" w:line="182" w:lineRule="auto"/>
              <w:ind w:left="44"/>
              <w:rPr>
                <w:sz w:val="19"/>
                <w:szCs w:val="19"/>
              </w:rPr>
            </w:pPr>
            <w:r>
              <w:rPr>
                <w:sz w:val="19"/>
                <w:szCs w:val="19"/>
              </w:rPr>
              <w:t>5</w:t>
            </w:r>
          </w:p>
        </w:tc>
        <w:tc>
          <w:tcPr>
            <w:tcW w:w="999" w:type="dxa"/>
            <w:tcBorders>
              <w:left w:val="single" w:sz="4" w:space="0" w:color="000000"/>
            </w:tcBorders>
          </w:tcPr>
          <w:p>
            <w:pPr>
              <w:pStyle w:val="19"/>
              <w:spacing w:before="216" w:line="182" w:lineRule="auto"/>
              <w:ind w:left="66"/>
            </w:pPr>
            <w:r>
              <w:rPr>
                <w:spacing w:val="-2"/>
              </w:rPr>
              <w:t>90%</w:t>
            </w:r>
          </w:p>
        </w:tc>
        <w:tc>
          <w:tcPr>
            <w:tcW w:w="1009" w:type="dxa"/>
            <w:tcBorders>
              <w:left w:val="single" w:sz="4" w:space="0" w:color="000000"/>
            </w:tcBorders>
          </w:tcPr>
          <w:p>
            <w:pPr>
              <w:pStyle w:val="19"/>
              <w:spacing w:before="217" w:line="182" w:lineRule="auto"/>
              <w:ind w:left="17"/>
            </w:pPr>
            <w:r>
              <w:t>5</w:t>
            </w:r>
          </w:p>
        </w:tc>
        <w:tc>
          <w:tcPr>
            <w:tcW w:w="1993" w:type="dxa"/>
            <w:gridSpan w:val="2"/>
            <w:tcBorders>
              <w:left w:val="single" w:sz="4" w:space="0" w:color="000000"/>
            </w:tcBorders>
          </w:tcPr>
          <w:p>
            <w:pPr>
              <w:rPr>
                <w:rFonts w:ascii="Arial" w:hAnsi="Arial"/>
                <w:sz w:val="21"/>
              </w:rPr>
            </w:pPr>
          </w:p>
        </w:tc>
      </w:tr>
      <w:tr>
        <w:trPr>
          <w:trHeight w:val="508"/>
        </w:trPr>
        <w:tc>
          <w:tcPr>
            <w:tcW w:w="605" w:type="dxa"/>
            <w:vMerge/>
            <w:tcBorders>
              <w:top w:val="nil"/>
              <w:bottom w:val="nil"/>
            </w:tcBorders>
          </w:tcPr>
          <w:p/>
        </w:tc>
        <w:tc>
          <w:tcPr>
            <w:tcW w:w="1069" w:type="dxa"/>
            <w:vMerge w:val="restart"/>
            <w:tcBorders>
              <w:bottom w:val="nil"/>
            </w:tcBorders>
          </w:tcPr>
          <w:p>
            <w:pPr>
              <w:spacing w:line="257" w:lineRule="auto"/>
              <w:rPr>
                <w:rFonts w:ascii="Arial" w:hAnsi="Arial"/>
                <w:sz w:val="21"/>
              </w:rPr>
            </w:pPr>
          </w:p>
          <w:p>
            <w:pPr>
              <w:spacing w:line="257" w:lineRule="auto"/>
              <w:rPr>
                <w:rFonts w:ascii="Arial" w:hAnsi="Arial"/>
                <w:sz w:val="21"/>
              </w:rPr>
            </w:pPr>
          </w:p>
          <w:p>
            <w:pPr>
              <w:pStyle w:val="19"/>
              <w:spacing w:before="45" w:line="223" w:lineRule="auto"/>
              <w:ind w:left="10"/>
            </w:pPr>
            <w:r>
              <w:rPr>
                <w:spacing w:val="-1"/>
              </w:rPr>
              <w:t>10-其他事务/01-</w:t>
            </w:r>
            <w:r>
              <w:rPr>
                <w:spacing w:val="8"/>
              </w:rPr>
              <w:t xml:space="preserve"> </w:t>
            </w:r>
            <w:r>
              <w:rPr>
                <w:spacing w:val="-2"/>
              </w:rPr>
              <w:t>委托投资评审</w:t>
            </w:r>
          </w:p>
        </w:tc>
        <w:tc>
          <w:tcPr>
            <w:tcW w:w="1604" w:type="dxa"/>
            <w:vMerge w:val="restart"/>
            <w:tcBorders>
              <w:bottom w:val="nil"/>
            </w:tcBorders>
          </w:tcPr>
          <w:p>
            <w:pPr>
              <w:spacing w:line="247" w:lineRule="auto"/>
              <w:rPr>
                <w:rFonts w:ascii="Arial" w:hAnsi="Arial"/>
                <w:sz w:val="21"/>
              </w:rPr>
            </w:pPr>
          </w:p>
          <w:p>
            <w:pPr>
              <w:spacing w:line="247" w:lineRule="auto"/>
              <w:rPr>
                <w:rFonts w:ascii="Arial" w:hAnsi="Arial"/>
                <w:sz w:val="21"/>
              </w:rPr>
            </w:pPr>
          </w:p>
          <w:p>
            <w:pPr>
              <w:pStyle w:val="19"/>
              <w:spacing w:before="46" w:line="228" w:lineRule="auto"/>
              <w:ind w:left="11"/>
            </w:pPr>
            <w:r>
              <w:rPr>
                <w:spacing w:val="-8"/>
              </w:rPr>
              <w:t>完成评审工作量、出具评审</w:t>
            </w:r>
            <w:r>
              <w:rPr>
                <w:spacing w:val="2"/>
              </w:rPr>
              <w:t xml:space="preserve"> </w:t>
            </w:r>
            <w:r>
              <w:rPr>
                <w:spacing w:val="-1"/>
              </w:rPr>
              <w:t>报告。</w:t>
            </w:r>
          </w:p>
        </w:tc>
        <w:tc>
          <w:tcPr>
            <w:tcW w:w="915" w:type="dxa"/>
            <w:vMerge w:val="restart"/>
            <w:tcBorders>
              <w:bottom w:val="nil"/>
            </w:tcBorders>
          </w:tcPr>
          <w:p>
            <w:pPr>
              <w:spacing w:line="295" w:lineRule="auto"/>
              <w:rPr>
                <w:rFonts w:ascii="Arial" w:hAnsi="Arial"/>
                <w:sz w:val="21"/>
              </w:rPr>
            </w:pPr>
          </w:p>
          <w:p>
            <w:pPr>
              <w:spacing w:line="295" w:lineRule="auto"/>
              <w:rPr>
                <w:rFonts w:ascii="Arial" w:hAnsi="Arial"/>
                <w:sz w:val="21"/>
              </w:rPr>
            </w:pPr>
          </w:p>
          <w:p>
            <w:pPr>
              <w:pStyle w:val="19"/>
              <w:spacing w:before="46" w:line="218" w:lineRule="auto"/>
              <w:ind w:left="41"/>
            </w:pPr>
            <w:r>
              <w:rPr>
                <w:spacing w:val="-2"/>
              </w:rPr>
              <w:t>产出指标</w:t>
            </w:r>
          </w:p>
        </w:tc>
        <w:tc>
          <w:tcPr>
            <w:tcW w:w="899" w:type="dxa"/>
            <w:tcBorders>
              <w:left w:val="single" w:sz="4" w:space="0" w:color="000000"/>
            </w:tcBorders>
          </w:tcPr>
          <w:p>
            <w:pPr>
              <w:pStyle w:val="19"/>
              <w:spacing w:before="192" w:line="221" w:lineRule="auto"/>
              <w:ind w:left="22"/>
            </w:pPr>
            <w:r>
              <w:rPr>
                <w:spacing w:val="-2"/>
              </w:rPr>
              <w:t>质量指标</w:t>
            </w:r>
          </w:p>
        </w:tc>
        <w:tc>
          <w:tcPr>
            <w:tcW w:w="1479" w:type="dxa"/>
            <w:tcBorders>
              <w:left w:val="single" w:sz="4" w:space="0" w:color="000000"/>
            </w:tcBorders>
          </w:tcPr>
          <w:p>
            <w:pPr>
              <w:pStyle w:val="19"/>
              <w:spacing w:before="191" w:line="218" w:lineRule="auto"/>
              <w:ind w:left="33"/>
            </w:pPr>
            <w:r>
              <w:rPr>
                <w:spacing w:val="-1"/>
              </w:rPr>
              <w:t>合格率。</w:t>
            </w:r>
          </w:p>
        </w:tc>
        <w:tc>
          <w:tcPr>
            <w:tcW w:w="890" w:type="dxa"/>
            <w:tcBorders>
              <w:left w:val="single" w:sz="4" w:space="0" w:color="000000"/>
            </w:tcBorders>
          </w:tcPr>
          <w:p>
            <w:pPr>
              <w:pStyle w:val="19"/>
              <w:spacing w:before="205" w:line="238" w:lineRule="auto"/>
              <w:ind w:left="34"/>
            </w:pPr>
            <w:r>
              <w:t>≥</w:t>
            </w:r>
          </w:p>
        </w:tc>
        <w:tc>
          <w:tcPr>
            <w:tcW w:w="840" w:type="dxa"/>
            <w:tcBorders>
              <w:left w:val="single" w:sz="4" w:space="0" w:color="000000"/>
            </w:tcBorders>
          </w:tcPr>
          <w:p>
            <w:pPr>
              <w:pStyle w:val="19"/>
              <w:spacing w:before="227" w:line="182" w:lineRule="auto"/>
              <w:ind w:left="54"/>
            </w:pPr>
            <w:r>
              <w:rPr>
                <w:spacing w:val="-2"/>
              </w:rPr>
              <w:t>95</w:t>
            </w:r>
          </w:p>
        </w:tc>
        <w:tc>
          <w:tcPr>
            <w:tcW w:w="1009" w:type="dxa"/>
            <w:tcBorders>
              <w:left w:val="single" w:sz="4" w:space="0" w:color="000000"/>
            </w:tcBorders>
          </w:tcPr>
          <w:p>
            <w:pPr>
              <w:pStyle w:val="19"/>
              <w:spacing w:before="205"/>
              <w:ind w:left="33"/>
            </w:pPr>
            <w:r>
              <w:t>%</w:t>
            </w:r>
          </w:p>
        </w:tc>
        <w:tc>
          <w:tcPr>
            <w:tcW w:w="999" w:type="dxa"/>
            <w:tcBorders>
              <w:left w:val="single" w:sz="4" w:space="0" w:color="000000"/>
            </w:tcBorders>
          </w:tcPr>
          <w:p>
            <w:pPr>
              <w:pStyle w:val="19"/>
              <w:spacing w:before="206" w:line="182" w:lineRule="auto"/>
              <w:ind w:left="44"/>
              <w:rPr>
                <w:sz w:val="23"/>
                <w:szCs w:val="23"/>
              </w:rPr>
            </w:pPr>
            <w:r>
              <w:rPr>
                <w:sz w:val="23"/>
                <w:szCs w:val="23"/>
              </w:rPr>
              <w:t>5</w:t>
            </w:r>
          </w:p>
        </w:tc>
        <w:tc>
          <w:tcPr>
            <w:tcW w:w="999" w:type="dxa"/>
            <w:tcBorders>
              <w:left w:val="single" w:sz="4" w:space="0" w:color="000000"/>
            </w:tcBorders>
          </w:tcPr>
          <w:p>
            <w:pPr>
              <w:pStyle w:val="19"/>
              <w:spacing w:before="227" w:line="185" w:lineRule="auto"/>
              <w:ind w:left="66"/>
            </w:pPr>
            <w:r>
              <w:rPr>
                <w:spacing w:val="-3"/>
              </w:rPr>
              <w:t>100%</w:t>
            </w:r>
          </w:p>
        </w:tc>
        <w:tc>
          <w:tcPr>
            <w:tcW w:w="1009" w:type="dxa"/>
            <w:tcBorders>
              <w:left w:val="single" w:sz="4" w:space="0" w:color="000000"/>
            </w:tcBorders>
          </w:tcPr>
          <w:p>
            <w:pPr>
              <w:pStyle w:val="19"/>
              <w:spacing w:before="228" w:line="182" w:lineRule="auto"/>
              <w:ind w:left="17"/>
            </w:pPr>
            <w:r>
              <w:t>5</w:t>
            </w:r>
          </w:p>
        </w:tc>
        <w:tc>
          <w:tcPr>
            <w:tcW w:w="1993" w:type="dxa"/>
            <w:gridSpan w:val="2"/>
            <w:tcBorders>
              <w:left w:val="single" w:sz="4" w:space="0" w:color="000000"/>
            </w:tcBorders>
          </w:tcPr>
          <w:p>
            <w:pPr>
              <w:rPr>
                <w:rFonts w:ascii="Arial" w:hAnsi="Arial"/>
                <w:sz w:val="21"/>
              </w:rPr>
            </w:pPr>
          </w:p>
        </w:tc>
      </w:tr>
      <w:tr>
        <w:trPr>
          <w:trHeight w:val="888"/>
        </w:trPr>
        <w:tc>
          <w:tcPr>
            <w:tcW w:w="605" w:type="dxa"/>
            <w:vMerge/>
            <w:tcBorders>
              <w:top w:val="nil"/>
              <w:bottom w:val="nil"/>
            </w:tcBorders>
          </w:tcPr>
          <w:p/>
        </w:tc>
        <w:tc>
          <w:tcPr>
            <w:tcW w:w="1069" w:type="dxa"/>
            <w:vMerge/>
            <w:tcBorders>
              <w:top w:val="nil"/>
            </w:tcBorders>
          </w:tcPr>
          <w:p/>
        </w:tc>
        <w:tc>
          <w:tcPr>
            <w:tcW w:w="1609" w:type="dxa"/>
            <w:vMerge/>
            <w:tcBorders>
              <w:top w:val="nil"/>
            </w:tcBorders>
          </w:tcPr>
          <w:p/>
        </w:tc>
        <w:tc>
          <w:tcPr>
            <w:tcW w:w="910" w:type="dxa"/>
            <w:vMerge/>
            <w:tcBorders>
              <w:top w:val="nil"/>
            </w:tcBorders>
          </w:tcPr>
          <w:p/>
        </w:tc>
        <w:tc>
          <w:tcPr>
            <w:tcW w:w="899" w:type="dxa"/>
            <w:tcBorders>
              <w:left w:val="single" w:sz="4" w:space="0" w:color="000000"/>
            </w:tcBorders>
          </w:tcPr>
          <w:p>
            <w:pPr>
              <w:spacing w:line="336" w:lineRule="auto"/>
              <w:rPr>
                <w:rFonts w:ascii="Arial" w:hAnsi="Arial"/>
                <w:sz w:val="21"/>
              </w:rPr>
            </w:pPr>
          </w:p>
          <w:p>
            <w:pPr>
              <w:pStyle w:val="19"/>
              <w:spacing w:before="46" w:line="221" w:lineRule="auto"/>
              <w:ind w:left="22"/>
            </w:pPr>
            <w:r>
              <w:rPr>
                <w:spacing w:val="-2"/>
              </w:rPr>
              <w:t>质量指标</w:t>
            </w:r>
          </w:p>
        </w:tc>
        <w:tc>
          <w:tcPr>
            <w:tcW w:w="1479" w:type="dxa"/>
            <w:tcBorders>
              <w:left w:val="single" w:sz="4" w:space="0" w:color="000000"/>
            </w:tcBorders>
          </w:tcPr>
          <w:p>
            <w:pPr>
              <w:spacing w:line="336" w:lineRule="auto"/>
              <w:rPr>
                <w:rFonts w:ascii="Arial" w:hAnsi="Arial"/>
                <w:sz w:val="21"/>
              </w:rPr>
            </w:pPr>
          </w:p>
          <w:p>
            <w:pPr>
              <w:pStyle w:val="19"/>
              <w:spacing w:before="45" w:line="218" w:lineRule="auto"/>
              <w:ind w:left="33"/>
            </w:pPr>
            <w:r>
              <w:rPr>
                <w:spacing w:val="-1"/>
              </w:rPr>
              <w:t>完成率。</w:t>
            </w:r>
          </w:p>
        </w:tc>
        <w:tc>
          <w:tcPr>
            <w:tcW w:w="890" w:type="dxa"/>
            <w:tcBorders>
              <w:left w:val="single" w:sz="4" w:space="0" w:color="000000"/>
            </w:tcBorders>
          </w:tcPr>
          <w:p>
            <w:pPr>
              <w:spacing w:line="348" w:lineRule="auto"/>
              <w:rPr>
                <w:rFonts w:ascii="Arial" w:hAnsi="Arial"/>
                <w:sz w:val="21"/>
              </w:rPr>
            </w:pPr>
          </w:p>
          <w:p>
            <w:pPr>
              <w:pStyle w:val="19"/>
              <w:spacing w:before="46" w:line="238" w:lineRule="auto"/>
              <w:ind w:left="34"/>
            </w:pPr>
            <w:r>
              <w:t>≥</w:t>
            </w:r>
          </w:p>
        </w:tc>
        <w:tc>
          <w:tcPr>
            <w:tcW w:w="840" w:type="dxa"/>
            <w:tcBorders>
              <w:left w:val="single" w:sz="4" w:space="0" w:color="000000"/>
            </w:tcBorders>
          </w:tcPr>
          <w:p>
            <w:pPr>
              <w:spacing w:line="372" w:lineRule="auto"/>
              <w:rPr>
                <w:rFonts w:ascii="Arial" w:hAnsi="Arial"/>
                <w:sz w:val="21"/>
              </w:rPr>
            </w:pPr>
          </w:p>
          <w:p>
            <w:pPr>
              <w:pStyle w:val="19"/>
              <w:spacing w:before="45" w:line="182" w:lineRule="auto"/>
              <w:ind w:left="54"/>
            </w:pPr>
            <w:r>
              <w:rPr>
                <w:spacing w:val="-2"/>
              </w:rPr>
              <w:t>80</w:t>
            </w:r>
          </w:p>
        </w:tc>
        <w:tc>
          <w:tcPr>
            <w:tcW w:w="1009" w:type="dxa"/>
            <w:tcBorders>
              <w:left w:val="single" w:sz="4" w:space="0" w:color="000000"/>
            </w:tcBorders>
          </w:tcPr>
          <w:p>
            <w:pPr>
              <w:spacing w:line="348" w:lineRule="auto"/>
              <w:rPr>
                <w:rFonts w:ascii="Arial" w:hAnsi="Arial"/>
                <w:sz w:val="21"/>
              </w:rPr>
            </w:pPr>
          </w:p>
          <w:p>
            <w:pPr>
              <w:pStyle w:val="19"/>
              <w:spacing w:before="46"/>
              <w:ind w:left="33"/>
            </w:pPr>
            <w:r>
              <w:t>%</w:t>
            </w:r>
          </w:p>
        </w:tc>
        <w:tc>
          <w:tcPr>
            <w:tcW w:w="999" w:type="dxa"/>
            <w:tcBorders>
              <w:left w:val="single" w:sz="4" w:space="0" w:color="000000"/>
            </w:tcBorders>
          </w:tcPr>
          <w:p>
            <w:pPr>
              <w:spacing w:line="341" w:lineRule="auto"/>
              <w:rPr>
                <w:rFonts w:ascii="Arial" w:hAnsi="Arial"/>
                <w:sz w:val="21"/>
              </w:rPr>
            </w:pPr>
          </w:p>
          <w:p>
            <w:pPr>
              <w:pStyle w:val="19"/>
              <w:spacing w:before="61" w:line="182" w:lineRule="auto"/>
              <w:ind w:left="44"/>
              <w:rPr>
                <w:sz w:val="19"/>
                <w:szCs w:val="19"/>
              </w:rPr>
            </w:pPr>
            <w:r>
              <w:rPr>
                <w:sz w:val="19"/>
                <w:szCs w:val="19"/>
              </w:rPr>
              <w:t>5</w:t>
            </w:r>
          </w:p>
        </w:tc>
        <w:tc>
          <w:tcPr>
            <w:tcW w:w="999" w:type="dxa"/>
            <w:tcBorders>
              <w:left w:val="single" w:sz="4" w:space="0" w:color="000000"/>
            </w:tcBorders>
          </w:tcPr>
          <w:p>
            <w:pPr>
              <w:spacing w:line="370" w:lineRule="auto"/>
              <w:rPr>
                <w:rFonts w:ascii="Arial" w:hAnsi="Arial"/>
                <w:sz w:val="21"/>
              </w:rPr>
            </w:pPr>
          </w:p>
          <w:p>
            <w:pPr>
              <w:pStyle w:val="19"/>
              <w:spacing w:before="45" w:line="185" w:lineRule="auto"/>
              <w:ind w:left="66"/>
            </w:pPr>
            <w:r>
              <w:rPr>
                <w:spacing w:val="-3"/>
              </w:rPr>
              <w:t>100%</w:t>
            </w:r>
          </w:p>
        </w:tc>
        <w:tc>
          <w:tcPr>
            <w:tcW w:w="1009" w:type="dxa"/>
            <w:tcBorders>
              <w:left w:val="single" w:sz="4" w:space="0" w:color="000000"/>
            </w:tcBorders>
          </w:tcPr>
          <w:p>
            <w:pPr>
              <w:spacing w:line="372" w:lineRule="auto"/>
              <w:rPr>
                <w:rFonts w:ascii="Arial" w:hAnsi="Arial"/>
                <w:sz w:val="21"/>
              </w:rPr>
            </w:pPr>
          </w:p>
          <w:p>
            <w:pPr>
              <w:pStyle w:val="19"/>
              <w:spacing w:before="45" w:line="182" w:lineRule="auto"/>
              <w:ind w:left="17"/>
            </w:pPr>
            <w:r>
              <w:t>3</w:t>
            </w:r>
          </w:p>
        </w:tc>
        <w:tc>
          <w:tcPr>
            <w:tcW w:w="1993" w:type="dxa"/>
            <w:gridSpan w:val="2"/>
            <w:tcBorders>
              <w:left w:val="single" w:sz="4" w:space="0" w:color="000000"/>
            </w:tcBorders>
            <w:shd w:val="clear" w:color="auto" w:fill="7A7C7E"/>
          </w:tcPr>
          <w:p>
            <w:pPr>
              <w:pStyle w:val="19"/>
              <w:spacing w:before="141" w:line="221" w:lineRule="auto"/>
              <w:ind w:left="17" w:firstLine="19"/>
              <w:jc w:val="both"/>
            </w:pPr>
          </w:p>
        </w:tc>
      </w:tr>
      <w:tr>
        <w:trPr>
          <w:trHeight w:val="1029"/>
        </w:trPr>
        <w:tc>
          <w:tcPr>
            <w:tcW w:w="605" w:type="dxa"/>
            <w:vMerge/>
            <w:tcBorders>
              <w:top w:val="nil"/>
              <w:bottom w:val="nil"/>
            </w:tcBorders>
          </w:tcPr>
          <w:p/>
        </w:tc>
        <w:tc>
          <w:tcPr>
            <w:tcW w:w="1069" w:type="dxa"/>
            <w:vMerge w:val="restart"/>
            <w:tcBorders>
              <w:bottom w:val="nil"/>
            </w:tcBorders>
          </w:tcPr>
          <w:p>
            <w:pPr>
              <w:spacing w:line="298" w:lineRule="auto"/>
              <w:rPr>
                <w:rFonts w:ascii="Arial" w:hAnsi="Arial"/>
                <w:sz w:val="21"/>
              </w:rPr>
            </w:pPr>
          </w:p>
          <w:p>
            <w:pPr>
              <w:spacing w:line="298" w:lineRule="auto"/>
              <w:rPr>
                <w:rFonts w:ascii="Arial" w:hAnsi="Arial"/>
                <w:sz w:val="21"/>
              </w:rPr>
            </w:pPr>
          </w:p>
          <w:p>
            <w:pPr>
              <w:pStyle w:val="19"/>
              <w:spacing w:before="46" w:line="216" w:lineRule="auto"/>
              <w:ind w:left="10"/>
            </w:pPr>
            <w:r>
              <w:rPr>
                <w:spacing w:val="-1"/>
              </w:rPr>
              <w:t>10-其他事务/02-</w:t>
            </w:r>
            <w:r>
              <w:rPr>
                <w:spacing w:val="8"/>
              </w:rPr>
              <w:t xml:space="preserve"> </w:t>
            </w:r>
            <w:r>
              <w:rPr>
                <w:spacing w:val="-2"/>
              </w:rPr>
              <w:t>信息化运行</w:t>
            </w:r>
          </w:p>
        </w:tc>
        <w:tc>
          <w:tcPr>
            <w:tcW w:w="1604" w:type="dxa"/>
            <w:tcBorders>
              <w:left w:val="single" w:sz="4" w:space="0" w:color="000000"/>
            </w:tcBorders>
            <w:shd w:val="clear" w:color="auto" w:fill="767879"/>
          </w:tcPr>
          <w:p>
            <w:pPr>
              <w:pStyle w:val="19"/>
              <w:spacing w:before="192" w:line="223" w:lineRule="auto"/>
              <w:ind w:left="11"/>
              <w:jc w:val="both"/>
            </w:pPr>
            <w:r>
              <w:rPr>
                <w:color w:val="FFFFFF"/>
                <w:spacing w:val="-8"/>
              </w:rPr>
              <w:t>保障财政信息化系统正常运</w:t>
            </w:r>
            <w:r>
              <w:rPr>
                <w:color w:val="FFFFFF"/>
              </w:rPr>
              <w:t xml:space="preserve"> </w:t>
            </w:r>
            <w:r>
              <w:rPr>
                <w:color w:val="FFFFFF"/>
                <w:spacing w:val="-8"/>
              </w:rPr>
              <w:t>行，数据传输正常、保存完</w:t>
            </w:r>
            <w:r>
              <w:rPr>
                <w:color w:val="FFFFFF"/>
              </w:rPr>
              <w:t xml:space="preserve"> </w:t>
            </w:r>
            <w:r>
              <w:rPr>
                <w:color w:val="FFFFFF"/>
                <w:spacing w:val="-8"/>
              </w:rPr>
              <w:t>整、安全，为财政业务工作</w:t>
            </w:r>
            <w:r>
              <w:rPr>
                <w:color w:val="FFFFFF"/>
                <w:spacing w:val="2"/>
              </w:rPr>
              <w:t xml:space="preserve"> </w:t>
            </w:r>
            <w:r>
              <w:rPr>
                <w:color w:val="FFFFFF"/>
                <w:spacing w:val="-1"/>
              </w:rPr>
              <w:t>正常开展提供坚实基础</w:t>
            </w:r>
          </w:p>
        </w:tc>
        <w:tc>
          <w:tcPr>
            <w:tcW w:w="915" w:type="dxa"/>
            <w:tcBorders>
              <w:left w:val="single" w:sz="4" w:space="0" w:color="000000"/>
            </w:tcBorders>
          </w:tcPr>
          <w:p>
            <w:pPr>
              <w:spacing w:line="406" w:lineRule="auto"/>
              <w:rPr>
                <w:rFonts w:ascii="Arial" w:hAnsi="Arial"/>
                <w:sz w:val="21"/>
              </w:rPr>
            </w:pPr>
          </w:p>
          <w:p>
            <w:pPr>
              <w:pStyle w:val="19"/>
              <w:spacing w:before="46" w:line="218" w:lineRule="auto"/>
              <w:ind w:left="41"/>
            </w:pPr>
            <w:r>
              <w:rPr>
                <w:spacing w:val="-2"/>
              </w:rPr>
              <w:t>产出指标</w:t>
            </w:r>
          </w:p>
        </w:tc>
        <w:tc>
          <w:tcPr>
            <w:tcW w:w="899" w:type="dxa"/>
            <w:tcBorders>
              <w:left w:val="single" w:sz="4" w:space="0" w:color="000000"/>
            </w:tcBorders>
          </w:tcPr>
          <w:p>
            <w:pPr>
              <w:spacing w:line="406" w:lineRule="auto"/>
              <w:rPr>
                <w:rFonts w:ascii="Arial" w:hAnsi="Arial"/>
                <w:sz w:val="21"/>
              </w:rPr>
            </w:pPr>
          </w:p>
          <w:p>
            <w:pPr>
              <w:pStyle w:val="19"/>
              <w:spacing w:before="45" w:line="221" w:lineRule="auto"/>
              <w:ind w:left="22"/>
            </w:pPr>
            <w:r>
              <w:rPr>
                <w:spacing w:val="-2"/>
              </w:rPr>
              <w:t>质量指标</w:t>
            </w:r>
          </w:p>
        </w:tc>
        <w:tc>
          <w:tcPr>
            <w:tcW w:w="1479" w:type="dxa"/>
            <w:tcBorders>
              <w:left w:val="single" w:sz="4" w:space="0" w:color="000000"/>
            </w:tcBorders>
          </w:tcPr>
          <w:p>
            <w:pPr>
              <w:spacing w:line="406" w:lineRule="auto"/>
              <w:rPr>
                <w:rFonts w:ascii="Arial" w:hAnsi="Arial"/>
                <w:sz w:val="21"/>
              </w:rPr>
            </w:pPr>
          </w:p>
          <w:p>
            <w:pPr>
              <w:pStyle w:val="19"/>
              <w:spacing w:before="46" w:line="218" w:lineRule="auto"/>
              <w:ind w:left="33"/>
            </w:pPr>
            <w:r>
              <w:t>系统运行故障率。</w:t>
            </w:r>
          </w:p>
        </w:tc>
        <w:tc>
          <w:tcPr>
            <w:tcW w:w="890" w:type="dxa"/>
            <w:tcBorders>
              <w:left w:val="single" w:sz="4" w:space="0" w:color="000000"/>
            </w:tcBorders>
          </w:tcPr>
          <w:p>
            <w:pPr>
              <w:spacing w:line="418" w:lineRule="auto"/>
              <w:rPr>
                <w:rFonts w:ascii="Arial" w:hAnsi="Arial"/>
                <w:sz w:val="21"/>
              </w:rPr>
            </w:pPr>
          </w:p>
          <w:p>
            <w:pPr>
              <w:pStyle w:val="19"/>
              <w:spacing w:before="45" w:line="235" w:lineRule="auto"/>
              <w:ind w:left="34"/>
            </w:pPr>
            <w:r>
              <w:t>≤</w:t>
            </w:r>
          </w:p>
        </w:tc>
        <w:tc>
          <w:tcPr>
            <w:tcW w:w="840" w:type="dxa"/>
            <w:tcBorders>
              <w:left w:val="single" w:sz="4" w:space="0" w:color="000000"/>
            </w:tcBorders>
          </w:tcPr>
          <w:p>
            <w:pPr>
              <w:spacing w:line="442" w:lineRule="auto"/>
              <w:rPr>
                <w:rFonts w:ascii="Arial" w:hAnsi="Arial"/>
                <w:sz w:val="21"/>
              </w:rPr>
            </w:pPr>
          </w:p>
          <w:p>
            <w:pPr>
              <w:pStyle w:val="19"/>
              <w:spacing w:before="45" w:line="182" w:lineRule="auto"/>
              <w:ind w:left="54"/>
            </w:pPr>
            <w:r>
              <w:t>5</w:t>
            </w:r>
          </w:p>
        </w:tc>
        <w:tc>
          <w:tcPr>
            <w:tcW w:w="1009" w:type="dxa"/>
            <w:tcBorders>
              <w:left w:val="single" w:sz="4" w:space="0" w:color="000000"/>
            </w:tcBorders>
          </w:tcPr>
          <w:p>
            <w:pPr>
              <w:spacing w:line="420" w:lineRule="auto"/>
              <w:rPr>
                <w:rFonts w:ascii="Arial" w:hAnsi="Arial"/>
                <w:sz w:val="21"/>
              </w:rPr>
            </w:pPr>
          </w:p>
          <w:p>
            <w:pPr>
              <w:pStyle w:val="19"/>
              <w:spacing w:before="45"/>
              <w:ind w:left="33"/>
            </w:pPr>
            <w:r>
              <w:t>%</w:t>
            </w:r>
          </w:p>
        </w:tc>
        <w:tc>
          <w:tcPr>
            <w:tcW w:w="999" w:type="dxa"/>
            <w:tcBorders>
              <w:left w:val="single" w:sz="4" w:space="0" w:color="000000"/>
            </w:tcBorders>
          </w:tcPr>
          <w:p>
            <w:pPr>
              <w:spacing w:line="442" w:lineRule="auto"/>
              <w:rPr>
                <w:rFonts w:ascii="Arial" w:hAnsi="Arial"/>
                <w:sz w:val="21"/>
              </w:rPr>
            </w:pPr>
          </w:p>
          <w:p>
            <w:pPr>
              <w:pStyle w:val="19"/>
              <w:spacing w:before="45" w:line="182" w:lineRule="auto"/>
              <w:ind w:left="44"/>
            </w:pPr>
            <w:r>
              <w:t>5</w:t>
            </w:r>
          </w:p>
        </w:tc>
        <w:tc>
          <w:tcPr>
            <w:tcW w:w="999" w:type="dxa"/>
            <w:tcBorders>
              <w:left w:val="single" w:sz="4" w:space="0" w:color="000000"/>
            </w:tcBorders>
          </w:tcPr>
          <w:p>
            <w:pPr>
              <w:spacing w:line="439" w:lineRule="auto"/>
              <w:rPr>
                <w:rFonts w:ascii="Arial" w:hAnsi="Arial"/>
                <w:sz w:val="21"/>
              </w:rPr>
            </w:pPr>
          </w:p>
          <w:p>
            <w:pPr>
              <w:pStyle w:val="19"/>
              <w:spacing w:before="46" w:line="185" w:lineRule="auto"/>
              <w:ind w:left="66"/>
            </w:pPr>
            <w:r>
              <w:rPr>
                <w:spacing w:val="-4"/>
              </w:rPr>
              <w:t>1%</w:t>
            </w:r>
          </w:p>
        </w:tc>
        <w:tc>
          <w:tcPr>
            <w:tcW w:w="1009" w:type="dxa"/>
            <w:tcBorders>
              <w:left w:val="single" w:sz="4" w:space="0" w:color="000000"/>
            </w:tcBorders>
          </w:tcPr>
          <w:p>
            <w:pPr>
              <w:spacing w:line="442" w:lineRule="auto"/>
              <w:rPr>
                <w:rFonts w:ascii="Arial" w:hAnsi="Arial"/>
                <w:sz w:val="21"/>
              </w:rPr>
            </w:pPr>
          </w:p>
          <w:p>
            <w:pPr>
              <w:pStyle w:val="19"/>
              <w:spacing w:before="45" w:line="182" w:lineRule="auto"/>
              <w:ind w:left="17"/>
            </w:pPr>
            <w:r>
              <w:t>5</w:t>
            </w:r>
          </w:p>
        </w:tc>
        <w:tc>
          <w:tcPr>
            <w:tcW w:w="1993" w:type="dxa"/>
            <w:gridSpan w:val="2"/>
            <w:tcBorders>
              <w:left w:val="single" w:sz="4" w:space="0" w:color="000000"/>
            </w:tcBorders>
          </w:tcPr>
          <w:p>
            <w:pPr>
              <w:rPr>
                <w:rFonts w:ascii="Arial" w:hAnsi="Arial"/>
                <w:sz w:val="21"/>
              </w:rPr>
            </w:pPr>
          </w:p>
        </w:tc>
      </w:tr>
      <w:tr>
        <w:trPr>
          <w:trHeight w:val="508"/>
        </w:trPr>
        <w:tc>
          <w:tcPr>
            <w:tcW w:w="605" w:type="dxa"/>
            <w:vMerge/>
            <w:tcBorders>
              <w:top w:val="nil"/>
              <w:bottom w:val="nil"/>
            </w:tcBorders>
          </w:tcPr>
          <w:p/>
        </w:tc>
        <w:tc>
          <w:tcPr>
            <w:tcW w:w="1069" w:type="dxa"/>
            <w:vMerge/>
            <w:tcBorders>
              <w:top w:val="nil"/>
            </w:tcBorders>
          </w:tcPr>
          <w:p/>
        </w:tc>
        <w:tc>
          <w:tcPr>
            <w:tcW w:w="1604" w:type="dxa"/>
            <w:tcBorders>
              <w:left w:val="single" w:sz="4" w:space="0" w:color="000000"/>
            </w:tcBorders>
          </w:tcPr>
          <w:p>
            <w:pPr>
              <w:pStyle w:val="19"/>
              <w:spacing w:before="194" w:line="218" w:lineRule="auto"/>
              <w:ind w:left="11"/>
            </w:pPr>
            <w:r>
              <w:rPr>
                <w:spacing w:val="-1"/>
              </w:rPr>
              <w:t>财政信息化运行维护。</w:t>
            </w:r>
          </w:p>
        </w:tc>
        <w:tc>
          <w:tcPr>
            <w:tcW w:w="915" w:type="dxa"/>
            <w:tcBorders>
              <w:left w:val="single" w:sz="4" w:space="0" w:color="000000"/>
            </w:tcBorders>
          </w:tcPr>
          <w:p>
            <w:pPr>
              <w:pStyle w:val="19"/>
              <w:spacing w:before="194" w:line="218" w:lineRule="auto"/>
              <w:ind w:left="41"/>
            </w:pPr>
            <w:r>
              <w:rPr>
                <w:spacing w:val="-1"/>
              </w:rPr>
              <w:t>满意度指标</w:t>
            </w:r>
          </w:p>
        </w:tc>
        <w:tc>
          <w:tcPr>
            <w:tcW w:w="899" w:type="dxa"/>
            <w:tcBorders>
              <w:left w:val="single" w:sz="4" w:space="0" w:color="000000"/>
            </w:tcBorders>
          </w:tcPr>
          <w:p>
            <w:pPr>
              <w:pStyle w:val="19"/>
              <w:spacing w:before="124" w:line="216" w:lineRule="auto"/>
              <w:ind w:left="22" w:right="32"/>
            </w:pPr>
            <w:r>
              <w:rPr>
                <w:spacing w:val="-1"/>
              </w:rPr>
              <w:t>服务对象满意</w:t>
            </w:r>
            <w:r>
              <w:t xml:space="preserve"> </w:t>
            </w:r>
            <w:r>
              <w:rPr>
                <w:spacing w:val="-2"/>
              </w:rPr>
              <w:t>度指标</w:t>
            </w:r>
          </w:p>
        </w:tc>
        <w:tc>
          <w:tcPr>
            <w:tcW w:w="1479" w:type="dxa"/>
            <w:tcBorders>
              <w:left w:val="single" w:sz="4" w:space="0" w:color="000000"/>
            </w:tcBorders>
          </w:tcPr>
          <w:p>
            <w:pPr>
              <w:pStyle w:val="19"/>
              <w:spacing w:before="114" w:line="216" w:lineRule="auto"/>
              <w:ind w:left="33" w:hanging="20"/>
            </w:pPr>
            <w:r>
              <w:rPr>
                <w:spacing w:val="-8"/>
              </w:rPr>
              <w:t>系统使用人员对系统功能</w:t>
            </w:r>
            <w:r>
              <w:rPr>
                <w:spacing w:val="2"/>
              </w:rPr>
              <w:t xml:space="preserve"> </w:t>
            </w:r>
            <w:r>
              <w:rPr>
                <w:spacing w:val="-1"/>
              </w:rPr>
              <w:t>满意。</w:t>
            </w:r>
          </w:p>
        </w:tc>
        <w:tc>
          <w:tcPr>
            <w:tcW w:w="890" w:type="dxa"/>
            <w:tcBorders>
              <w:left w:val="single" w:sz="4" w:space="0" w:color="000000"/>
            </w:tcBorders>
          </w:tcPr>
          <w:p>
            <w:pPr>
              <w:pStyle w:val="19"/>
              <w:spacing w:before="208" w:line="238" w:lineRule="auto"/>
              <w:ind w:left="34"/>
            </w:pPr>
            <w:r>
              <w:t>≥</w:t>
            </w:r>
          </w:p>
        </w:tc>
        <w:tc>
          <w:tcPr>
            <w:tcW w:w="840" w:type="dxa"/>
            <w:tcBorders>
              <w:left w:val="single" w:sz="4" w:space="0" w:color="000000"/>
            </w:tcBorders>
          </w:tcPr>
          <w:p>
            <w:pPr>
              <w:pStyle w:val="19"/>
              <w:spacing w:before="230" w:line="182" w:lineRule="auto"/>
              <w:ind w:left="54"/>
            </w:pPr>
            <w:r>
              <w:rPr>
                <w:spacing w:val="-2"/>
              </w:rPr>
              <w:t>90</w:t>
            </w:r>
          </w:p>
        </w:tc>
        <w:tc>
          <w:tcPr>
            <w:tcW w:w="1009" w:type="dxa"/>
            <w:tcBorders>
              <w:left w:val="single" w:sz="4" w:space="0" w:color="000000"/>
            </w:tcBorders>
          </w:tcPr>
          <w:p>
            <w:pPr>
              <w:pStyle w:val="19"/>
              <w:spacing w:before="208"/>
              <w:ind w:left="33"/>
            </w:pPr>
            <w:r>
              <w:t>%</w:t>
            </w:r>
          </w:p>
        </w:tc>
        <w:tc>
          <w:tcPr>
            <w:tcW w:w="999" w:type="dxa"/>
            <w:tcBorders>
              <w:left w:val="single" w:sz="4" w:space="0" w:color="000000"/>
            </w:tcBorders>
          </w:tcPr>
          <w:p>
            <w:pPr>
              <w:pStyle w:val="19"/>
              <w:spacing w:before="231" w:line="182" w:lineRule="auto"/>
              <w:ind w:left="44"/>
            </w:pPr>
            <w:r>
              <w:t>5</w:t>
            </w:r>
          </w:p>
        </w:tc>
        <w:tc>
          <w:tcPr>
            <w:tcW w:w="999" w:type="dxa"/>
            <w:tcBorders>
              <w:left w:val="single" w:sz="4" w:space="0" w:color="000000"/>
            </w:tcBorders>
          </w:tcPr>
          <w:p>
            <w:pPr>
              <w:pStyle w:val="19"/>
              <w:spacing w:before="230" w:line="182" w:lineRule="auto"/>
              <w:ind w:left="66"/>
            </w:pPr>
            <w:r>
              <w:rPr>
                <w:spacing w:val="-2"/>
              </w:rPr>
              <w:t>95%</w:t>
            </w:r>
          </w:p>
        </w:tc>
        <w:tc>
          <w:tcPr>
            <w:tcW w:w="1009" w:type="dxa"/>
            <w:tcBorders>
              <w:left w:val="single" w:sz="4" w:space="0" w:color="000000"/>
            </w:tcBorders>
          </w:tcPr>
          <w:p>
            <w:pPr>
              <w:rPr>
                <w:rFonts w:ascii="Arial" w:hAnsi="Arial"/>
                <w:sz w:val="21"/>
              </w:rPr>
            </w:pPr>
          </w:p>
        </w:tc>
        <w:tc>
          <w:tcPr>
            <w:tcW w:w="1993" w:type="dxa"/>
            <w:gridSpan w:val="2"/>
            <w:tcBorders>
              <w:left w:val="single" w:sz="4" w:space="0" w:color="000000"/>
            </w:tcBorders>
          </w:tcPr>
          <w:p>
            <w:pPr>
              <w:rPr>
                <w:rFonts w:ascii="Arial" w:hAnsi="Arial"/>
                <w:sz w:val="21"/>
              </w:rPr>
            </w:pPr>
          </w:p>
        </w:tc>
      </w:tr>
      <w:tr>
        <w:trPr>
          <w:trHeight w:val="493"/>
        </w:trPr>
        <w:tc>
          <w:tcPr>
            <w:tcW w:w="605" w:type="dxa"/>
            <w:vMerge/>
            <w:tcBorders>
              <w:top w:val="nil"/>
            </w:tcBorders>
          </w:tcPr>
          <w:p/>
        </w:tc>
        <w:tc>
          <w:tcPr>
            <w:tcW w:w="1069" w:type="dxa"/>
            <w:tcBorders>
              <w:left w:val="single" w:sz="4" w:space="0" w:color="000000"/>
            </w:tcBorders>
          </w:tcPr>
          <w:p>
            <w:pPr>
              <w:rPr>
                <w:rFonts w:ascii="Arial" w:hAnsi="Arial"/>
                <w:sz w:val="21"/>
              </w:rPr>
            </w:pPr>
          </w:p>
        </w:tc>
        <w:tc>
          <w:tcPr>
            <w:tcW w:w="1604" w:type="dxa"/>
            <w:tcBorders>
              <w:left w:val="single" w:sz="4" w:space="0" w:color="000000"/>
            </w:tcBorders>
          </w:tcPr>
          <w:p>
            <w:pPr>
              <w:pStyle w:val="19"/>
              <w:spacing w:before="106" w:line="247" w:lineRule="auto"/>
              <w:ind w:left="11" w:right="2"/>
            </w:pPr>
            <w:r>
              <w:rPr>
                <w:spacing w:val="-8"/>
              </w:rPr>
              <w:t>提升财政资金使用效益，并</w:t>
            </w:r>
            <w:r>
              <w:t xml:space="preserve"> </w:t>
            </w:r>
            <w:r>
              <w:rPr>
                <w:spacing w:val="-1"/>
              </w:rPr>
              <w:t>推进绩效评价结果应用。</w:t>
            </w:r>
          </w:p>
        </w:tc>
        <w:tc>
          <w:tcPr>
            <w:tcW w:w="915" w:type="dxa"/>
            <w:tcBorders>
              <w:left w:val="single" w:sz="4" w:space="0" w:color="000000"/>
            </w:tcBorders>
          </w:tcPr>
          <w:p>
            <w:pPr>
              <w:pStyle w:val="19"/>
              <w:spacing w:before="186" w:line="221" w:lineRule="auto"/>
              <w:ind w:left="41"/>
            </w:pPr>
            <w:r>
              <w:rPr>
                <w:spacing w:val="-2"/>
              </w:rPr>
              <w:t>效益指标</w:t>
            </w:r>
          </w:p>
        </w:tc>
        <w:tc>
          <w:tcPr>
            <w:tcW w:w="899" w:type="dxa"/>
            <w:tcBorders>
              <w:left w:val="single" w:sz="4" w:space="0" w:color="000000"/>
            </w:tcBorders>
          </w:tcPr>
          <w:p>
            <w:pPr>
              <w:pStyle w:val="19"/>
              <w:spacing w:before="186" w:line="221" w:lineRule="auto"/>
              <w:ind w:left="22"/>
            </w:pPr>
            <w:r>
              <w:rPr>
                <w:spacing w:val="-1"/>
              </w:rPr>
              <w:t>经济效益指标</w:t>
            </w:r>
          </w:p>
        </w:tc>
        <w:tc>
          <w:tcPr>
            <w:tcW w:w="1479" w:type="dxa"/>
            <w:tcBorders>
              <w:left w:val="single" w:sz="4" w:space="0" w:color="000000"/>
            </w:tcBorders>
          </w:tcPr>
          <w:p>
            <w:pPr>
              <w:pStyle w:val="19"/>
              <w:spacing w:before="186" w:line="221" w:lineRule="auto"/>
              <w:ind w:left="33"/>
            </w:pPr>
            <w:r>
              <w:t>对财政资金提质增效。</w:t>
            </w:r>
          </w:p>
        </w:tc>
        <w:tc>
          <w:tcPr>
            <w:tcW w:w="890" w:type="dxa"/>
            <w:tcBorders>
              <w:left w:val="single" w:sz="4" w:space="0" w:color="000000"/>
            </w:tcBorders>
          </w:tcPr>
          <w:p>
            <w:pPr>
              <w:pStyle w:val="19"/>
              <w:spacing w:before="186" w:line="221" w:lineRule="auto"/>
              <w:ind w:left="34"/>
            </w:pPr>
            <w:r>
              <w:rPr>
                <w:spacing w:val="-3"/>
              </w:rPr>
              <w:t>定性</w:t>
            </w:r>
          </w:p>
        </w:tc>
        <w:tc>
          <w:tcPr>
            <w:tcW w:w="840" w:type="dxa"/>
            <w:tcBorders>
              <w:left w:val="single" w:sz="4" w:space="0" w:color="000000"/>
            </w:tcBorders>
          </w:tcPr>
          <w:p>
            <w:pPr>
              <w:pStyle w:val="19"/>
              <w:spacing w:before="186" w:line="221" w:lineRule="auto"/>
              <w:ind w:left="54"/>
            </w:pPr>
            <w:r>
              <w:rPr>
                <w:spacing w:val="-2"/>
              </w:rPr>
              <w:t>有效提升</w:t>
            </w:r>
          </w:p>
        </w:tc>
        <w:tc>
          <w:tcPr>
            <w:tcW w:w="1009" w:type="dxa"/>
            <w:tcBorders>
              <w:left w:val="single" w:sz="4" w:space="0" w:color="000000"/>
            </w:tcBorders>
          </w:tcPr>
          <w:p>
            <w:pPr>
              <w:rPr>
                <w:rFonts w:ascii="Arial" w:hAnsi="Arial"/>
                <w:sz w:val="21"/>
              </w:rPr>
            </w:pPr>
          </w:p>
        </w:tc>
        <w:tc>
          <w:tcPr>
            <w:tcW w:w="999" w:type="dxa"/>
            <w:tcBorders>
              <w:left w:val="single" w:sz="4" w:space="0" w:color="000000"/>
            </w:tcBorders>
          </w:tcPr>
          <w:p>
            <w:pPr>
              <w:pStyle w:val="19"/>
              <w:spacing w:before="207" w:line="182" w:lineRule="auto"/>
              <w:ind w:left="44"/>
              <w:rPr>
                <w:sz w:val="19"/>
                <w:szCs w:val="19"/>
              </w:rPr>
            </w:pPr>
            <w:r>
              <w:rPr>
                <w:sz w:val="19"/>
                <w:szCs w:val="19"/>
              </w:rPr>
              <w:t>5</w:t>
            </w:r>
          </w:p>
        </w:tc>
        <w:tc>
          <w:tcPr>
            <w:tcW w:w="999" w:type="dxa"/>
            <w:tcBorders>
              <w:left w:val="single" w:sz="4" w:space="0" w:color="000000"/>
            </w:tcBorders>
          </w:tcPr>
          <w:p>
            <w:pPr>
              <w:pStyle w:val="19"/>
              <w:spacing w:before="115" w:line="216" w:lineRule="auto"/>
              <w:ind w:left="65" w:hanging="29"/>
            </w:pPr>
            <w:r>
              <w:rPr>
                <w:spacing w:val="-4"/>
              </w:rPr>
              <w:t>对财政资金提质</w:t>
            </w:r>
            <w:r>
              <w:t xml:space="preserve"> </w:t>
            </w:r>
            <w:r>
              <w:rPr>
                <w:spacing w:val="-2"/>
              </w:rPr>
              <w:t>增效。</w:t>
            </w:r>
          </w:p>
        </w:tc>
        <w:tc>
          <w:tcPr>
            <w:tcW w:w="1009" w:type="dxa"/>
            <w:tcBorders>
              <w:left w:val="single" w:sz="4" w:space="0" w:color="000000"/>
            </w:tcBorders>
          </w:tcPr>
          <w:p>
            <w:pPr>
              <w:rPr>
                <w:rFonts w:ascii="Arial" w:hAnsi="Arial"/>
                <w:sz w:val="21"/>
              </w:rPr>
            </w:pPr>
          </w:p>
        </w:tc>
        <w:tc>
          <w:tcPr>
            <w:tcW w:w="1993" w:type="dxa"/>
            <w:gridSpan w:val="2"/>
            <w:tcBorders>
              <w:left w:val="single" w:sz="4" w:space="0" w:color="000000"/>
            </w:tcBorders>
          </w:tcPr>
          <w:p>
            <w:pPr>
              <w:rPr>
                <w:rFonts w:ascii="Arial" w:hAnsi="Arial"/>
                <w:sz w:val="21"/>
              </w:rPr>
            </w:pPr>
          </w:p>
        </w:tc>
      </w:tr>
    </w:tbl>
    <w:p>
      <w:pPr>
        <w:rPr>
          <w:rFonts w:ascii="Arial" w:hAnsi="Arial"/>
          <w:sz w:val="21"/>
        </w:rPr>
      </w:pPr>
    </w:p>
    <w:p>
      <w:pPr>
        <w:rPr>
          <w:rFonts w:ascii="Arial" w:eastAsia="Arial" w:cs="Arial" w:hAnsi="Arial"/>
          <w:sz w:val="21"/>
          <w:szCs w:val="21"/>
        </w:rPr>
        <w:sectPr>
          <w:footerReference w:type="default" r:id="rId3"/>
          <w:pgSz w:w="16540" w:h="12080"/>
          <w:pgMar w:top="1026" w:right="1174" w:bottom="400" w:left="1044" w:header="0" w:footer="0" w:gutter="0"/>
          <w:pgNumType/>
          <w:cols w:num="1" w:space="720"/>
          <w:docGrid w:linePitch="312" w:charSpace="0"/>
        </w:sectPr>
      </w:pPr>
    </w:p>
    <w:p/>
    <w:tbl>
      <w:tblPr>
        <w:jc w:val="left"/>
        <w:tblInd w:w="5" w:type="dxa"/>
        <w:tblW w:w="14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600" w:firstRow="0" w:lastRow="0" w:firstColumn="0" w:lastColumn="0" w:noHBand="1" w:noVBand="1"/>
      </w:tblPr>
      <w:tblGrid>
        <w:gridCol w:w="615"/>
        <w:gridCol w:w="1069"/>
        <w:gridCol w:w="1619"/>
        <w:gridCol w:w="899"/>
        <w:gridCol w:w="909"/>
        <w:gridCol w:w="1469"/>
        <w:gridCol w:w="909"/>
        <w:gridCol w:w="829"/>
        <w:gridCol w:w="1009"/>
        <w:gridCol w:w="1010"/>
        <w:gridCol w:w="1019"/>
        <w:gridCol w:w="989"/>
        <w:gridCol w:w="1994"/>
      </w:tblGrid>
      <w:tr>
        <w:trPr>
          <w:trHeight w:val="1812"/>
        </w:trPr>
        <w:tc>
          <w:tcPr>
            <w:tcW w:w="615" w:type="dxa"/>
            <w:vMerge w:val="restart"/>
            <w:tcBorders>
              <w:bottom w:val="nil"/>
            </w:tcBorders>
            <w:textDirection w:val="tbRlV"/>
          </w:tcPr>
          <w:p>
            <w:pPr>
              <w:pStyle w:val="19"/>
              <w:spacing w:before="245" w:line="202" w:lineRule="auto"/>
            </w:pPr>
            <w:r>
              <w:rPr>
                <w:spacing w:val="-1"/>
              </w:rPr>
              <w:t>门</w:t>
            </w:r>
            <w:r>
              <w:rPr>
                <w:spacing w:val="-18"/>
              </w:rPr>
              <w:t xml:space="preserve"> </w:t>
            </w:r>
            <w:r>
              <w:rPr>
                <w:spacing w:val="-1"/>
              </w:rPr>
              <w:t>整</w:t>
            </w:r>
            <w:r>
              <w:rPr>
                <w:spacing w:val="-22"/>
              </w:rPr>
              <w:t xml:space="preserve"> </w:t>
            </w:r>
            <w:r>
              <w:rPr>
                <w:spacing w:val="-1"/>
              </w:rPr>
              <w:t>体</w:t>
            </w:r>
            <w:r>
              <w:rPr>
                <w:spacing w:val="-21"/>
              </w:rPr>
              <w:t xml:space="preserve"> </w:t>
            </w:r>
            <w:r>
              <w:rPr>
                <w:spacing w:val="-1"/>
              </w:rPr>
              <w:t>绩</w:t>
            </w:r>
            <w:r>
              <w:rPr>
                <w:spacing w:val="-22"/>
              </w:rPr>
              <w:t xml:space="preserve"> </w:t>
            </w:r>
            <w:r>
              <w:rPr>
                <w:spacing w:val="-1"/>
              </w:rPr>
              <w:t>效</w:t>
            </w:r>
            <w:r>
              <w:rPr>
                <w:spacing w:val="-21"/>
              </w:rPr>
              <w:t xml:space="preserve"> </w:t>
            </w:r>
            <w:r>
              <w:rPr>
                <w:spacing w:val="-1"/>
              </w:rPr>
              <w:t>情</w:t>
            </w:r>
            <w:r>
              <w:rPr>
                <w:spacing w:val="-22"/>
              </w:rPr>
              <w:t xml:space="preserve"> </w:t>
            </w:r>
            <w:r>
              <w:rPr>
                <w:spacing w:val="-1"/>
              </w:rPr>
              <w:t>况</w:t>
            </w:r>
          </w:p>
        </w:tc>
        <w:tc>
          <w:tcPr>
            <w:tcW w:w="1069" w:type="dxa"/>
          </w:tcPr>
          <w:p>
            <w:pPr>
              <w:spacing w:line="374" w:lineRule="auto"/>
              <w:rPr>
                <w:rFonts w:ascii="Arial" w:hAnsi="Arial"/>
                <w:sz w:val="21"/>
              </w:rPr>
            </w:pPr>
          </w:p>
          <w:p>
            <w:pPr>
              <w:pStyle w:val="19"/>
              <w:spacing w:before="46" w:line="214" w:lineRule="auto"/>
              <w:ind w:left="39" w:right="4"/>
              <w:jc w:val="both"/>
            </w:pPr>
            <w:r>
              <w:rPr>
                <w:spacing w:val="-4"/>
              </w:rPr>
              <w:t>08-财政监督/04-</w:t>
            </w:r>
            <w:r>
              <w:rPr>
                <w:spacing w:val="7"/>
              </w:rPr>
              <w:t xml:space="preserve"> </w:t>
            </w:r>
            <w:r>
              <w:rPr>
                <w:spacing w:val="-1"/>
              </w:rPr>
              <w:t>购买会计审计服</w:t>
            </w:r>
            <w:r>
              <w:rPr>
                <w:spacing w:val="1"/>
              </w:rPr>
              <w:t xml:space="preserve"> </w:t>
            </w:r>
            <w:r>
              <w:t>务</w:t>
            </w:r>
          </w:p>
        </w:tc>
        <w:tc>
          <w:tcPr>
            <w:tcW w:w="1619" w:type="dxa"/>
          </w:tcPr>
          <w:p>
            <w:pPr>
              <w:spacing w:line="360" w:lineRule="auto"/>
              <w:rPr>
                <w:rFonts w:ascii="Arial" w:hAnsi="Arial"/>
                <w:sz w:val="21"/>
              </w:rPr>
            </w:pPr>
          </w:p>
          <w:p>
            <w:pPr>
              <w:spacing w:line="360" w:lineRule="auto"/>
              <w:rPr>
                <w:rFonts w:ascii="Arial" w:hAnsi="Arial"/>
                <w:sz w:val="21"/>
              </w:rPr>
            </w:pPr>
          </w:p>
          <w:p>
            <w:pPr>
              <w:pStyle w:val="19"/>
              <w:spacing w:before="45" w:line="230" w:lineRule="auto"/>
              <w:ind w:left="10" w:right="2"/>
            </w:pPr>
            <w:r>
              <w:rPr>
                <w:spacing w:val="-8"/>
              </w:rPr>
              <w:t>开展绩效评价、财经纪律检</w:t>
            </w:r>
            <w:r>
              <w:rPr>
                <w:spacing w:val="10"/>
              </w:rPr>
              <w:t xml:space="preserve"> </w:t>
            </w:r>
            <w:r>
              <w:t>查工作。</w:t>
            </w:r>
          </w:p>
        </w:tc>
        <w:tc>
          <w:tcPr>
            <w:tcW w:w="899" w:type="dxa"/>
          </w:tcPr>
          <w:p>
            <w:pPr>
              <w:spacing w:line="264" w:lineRule="auto"/>
              <w:rPr>
                <w:rFonts w:ascii="Arial" w:hAnsi="Arial"/>
                <w:sz w:val="21"/>
              </w:rPr>
            </w:pPr>
          </w:p>
          <w:p>
            <w:pPr>
              <w:spacing w:line="264" w:lineRule="auto"/>
              <w:rPr>
                <w:rFonts w:ascii="Arial" w:hAnsi="Arial"/>
                <w:sz w:val="21"/>
              </w:rPr>
            </w:pPr>
          </w:p>
          <w:p>
            <w:pPr>
              <w:spacing w:line="264" w:lineRule="auto"/>
              <w:rPr>
                <w:rFonts w:ascii="Arial" w:hAnsi="Arial"/>
                <w:sz w:val="21"/>
              </w:rPr>
            </w:pPr>
          </w:p>
          <w:p>
            <w:pPr>
              <w:pStyle w:val="19"/>
              <w:spacing w:before="46" w:line="221" w:lineRule="auto"/>
              <w:ind w:left="31"/>
            </w:pPr>
            <w:r>
              <w:rPr>
                <w:spacing w:val="-2"/>
              </w:rPr>
              <w:t>效益指标</w:t>
            </w:r>
          </w:p>
        </w:tc>
        <w:tc>
          <w:tcPr>
            <w:tcW w:w="909" w:type="dxa"/>
          </w:tcPr>
          <w:p>
            <w:pPr>
              <w:spacing w:line="264" w:lineRule="auto"/>
              <w:rPr>
                <w:rFonts w:ascii="Arial" w:hAnsi="Arial"/>
                <w:sz w:val="21"/>
              </w:rPr>
            </w:pPr>
          </w:p>
          <w:p>
            <w:pPr>
              <w:spacing w:line="264" w:lineRule="auto"/>
              <w:rPr>
                <w:rFonts w:ascii="Arial" w:hAnsi="Arial"/>
                <w:sz w:val="21"/>
              </w:rPr>
            </w:pPr>
          </w:p>
          <w:p>
            <w:pPr>
              <w:spacing w:line="264" w:lineRule="auto"/>
              <w:rPr>
                <w:rFonts w:ascii="Arial" w:hAnsi="Arial"/>
                <w:sz w:val="21"/>
              </w:rPr>
            </w:pPr>
          </w:p>
          <w:p>
            <w:pPr>
              <w:pStyle w:val="19"/>
              <w:spacing w:before="46" w:line="218" w:lineRule="auto"/>
              <w:ind w:left="32"/>
            </w:pPr>
            <w:r>
              <w:rPr>
                <w:spacing w:val="-1"/>
              </w:rPr>
              <w:t>社会效益指标</w:t>
            </w:r>
          </w:p>
        </w:tc>
        <w:tc>
          <w:tcPr>
            <w:tcW w:w="1469" w:type="dxa"/>
          </w:tcPr>
          <w:p>
            <w:pPr>
              <w:spacing w:line="360" w:lineRule="auto"/>
              <w:rPr>
                <w:rFonts w:ascii="Arial" w:hAnsi="Arial"/>
                <w:sz w:val="21"/>
              </w:rPr>
            </w:pPr>
          </w:p>
          <w:p>
            <w:pPr>
              <w:spacing w:line="360" w:lineRule="auto"/>
              <w:rPr>
                <w:rFonts w:ascii="Arial" w:hAnsi="Arial"/>
                <w:sz w:val="21"/>
              </w:rPr>
            </w:pPr>
          </w:p>
          <w:p>
            <w:pPr>
              <w:pStyle w:val="19"/>
              <w:spacing w:before="46" w:line="216" w:lineRule="auto"/>
              <w:ind w:left="13"/>
            </w:pPr>
            <w:r>
              <w:rPr>
                <w:spacing w:val="-10"/>
              </w:rPr>
              <w:t>进一</w:t>
            </w:r>
            <w:r>
              <w:rPr>
                <w:spacing w:val="-9"/>
              </w:rPr>
              <w:t>步规范财经秩序、</w:t>
            </w:r>
            <w:r>
              <w:rPr>
                <w:spacing w:val="-7"/>
              </w:rPr>
              <w:t>严</w:t>
            </w:r>
            <w:r>
              <w:rPr>
                <w:spacing w:val="3"/>
              </w:rPr>
              <w:t xml:space="preserve"> </w:t>
            </w:r>
            <w:r>
              <w:rPr>
                <w:spacing w:val="-1"/>
              </w:rPr>
              <w:t>肃财经纪律。</w:t>
            </w:r>
          </w:p>
        </w:tc>
        <w:tc>
          <w:tcPr>
            <w:tcW w:w="909" w:type="dxa"/>
          </w:tcPr>
          <w:p>
            <w:pPr>
              <w:spacing w:line="264" w:lineRule="auto"/>
              <w:rPr>
                <w:rFonts w:ascii="Arial" w:hAnsi="Arial"/>
                <w:sz w:val="21"/>
              </w:rPr>
            </w:pPr>
          </w:p>
          <w:p>
            <w:pPr>
              <w:spacing w:line="264" w:lineRule="auto"/>
              <w:rPr>
                <w:rFonts w:ascii="Arial" w:hAnsi="Arial"/>
                <w:sz w:val="21"/>
              </w:rPr>
            </w:pPr>
          </w:p>
          <w:p>
            <w:pPr>
              <w:spacing w:line="264" w:lineRule="auto"/>
              <w:rPr>
                <w:rFonts w:ascii="Arial" w:hAnsi="Arial"/>
                <w:sz w:val="21"/>
              </w:rPr>
            </w:pPr>
          </w:p>
          <w:p>
            <w:pPr>
              <w:pStyle w:val="19"/>
              <w:spacing w:before="46" w:line="221" w:lineRule="auto"/>
              <w:ind w:left="25"/>
            </w:pPr>
            <w:r>
              <w:rPr>
                <w:spacing w:val="-3"/>
              </w:rPr>
              <w:t>定性</w:t>
            </w:r>
          </w:p>
        </w:tc>
        <w:tc>
          <w:tcPr>
            <w:tcW w:w="829" w:type="dxa"/>
          </w:tcPr>
          <w:p>
            <w:pPr>
              <w:spacing w:line="264" w:lineRule="auto"/>
              <w:rPr>
                <w:rFonts w:ascii="Arial" w:hAnsi="Arial"/>
                <w:sz w:val="21"/>
              </w:rPr>
            </w:pPr>
          </w:p>
          <w:p>
            <w:pPr>
              <w:spacing w:line="264" w:lineRule="auto"/>
              <w:rPr>
                <w:rFonts w:ascii="Arial" w:hAnsi="Arial"/>
                <w:sz w:val="21"/>
              </w:rPr>
            </w:pPr>
          </w:p>
          <w:p>
            <w:pPr>
              <w:spacing w:line="264" w:lineRule="auto"/>
              <w:rPr>
                <w:rFonts w:ascii="Arial" w:hAnsi="Arial"/>
                <w:sz w:val="21"/>
              </w:rPr>
            </w:pPr>
          </w:p>
          <w:p>
            <w:pPr>
              <w:pStyle w:val="19"/>
              <w:spacing w:before="46" w:line="221" w:lineRule="auto"/>
              <w:ind w:left="25"/>
            </w:pPr>
            <w:r>
              <w:rPr>
                <w:spacing w:val="-2"/>
              </w:rPr>
              <w:t>有效提升</w:t>
            </w:r>
          </w:p>
        </w:tc>
        <w:tc>
          <w:tcPr>
            <w:tcW w:w="1009" w:type="dxa"/>
          </w:tcPr>
          <w:p>
            <w:pPr>
              <w:rPr>
                <w:rFonts w:ascii="Arial" w:hAnsi="Arial"/>
                <w:sz w:val="21"/>
              </w:rPr>
            </w:pPr>
          </w:p>
        </w:tc>
        <w:tc>
          <w:tcPr>
            <w:tcW w:w="1010" w:type="dxa"/>
          </w:tcPr>
          <w:p>
            <w:pPr>
              <w:spacing w:line="276" w:lineRule="auto"/>
              <w:rPr>
                <w:rFonts w:ascii="Arial" w:hAnsi="Arial"/>
                <w:sz w:val="21"/>
              </w:rPr>
            </w:pPr>
          </w:p>
          <w:p>
            <w:pPr>
              <w:spacing w:line="276" w:lineRule="auto"/>
              <w:rPr>
                <w:rFonts w:ascii="Arial" w:hAnsi="Arial"/>
                <w:sz w:val="21"/>
              </w:rPr>
            </w:pPr>
          </w:p>
          <w:p>
            <w:pPr>
              <w:spacing w:line="276" w:lineRule="auto"/>
              <w:rPr>
                <w:rFonts w:ascii="Arial" w:hAnsi="Arial"/>
                <w:sz w:val="21"/>
              </w:rPr>
            </w:pPr>
          </w:p>
          <w:p>
            <w:pPr>
              <w:pStyle w:val="19"/>
              <w:spacing w:before="45" w:line="182" w:lineRule="auto"/>
              <w:ind w:left="47"/>
            </w:pPr>
            <w:r>
              <w:t>5</w:t>
            </w:r>
          </w:p>
        </w:tc>
        <w:tc>
          <w:tcPr>
            <w:tcW w:w="1019" w:type="dxa"/>
          </w:tcPr>
          <w:p>
            <w:pPr>
              <w:spacing w:line="314" w:lineRule="auto"/>
              <w:rPr>
                <w:rFonts w:ascii="Arial" w:hAnsi="Arial"/>
                <w:sz w:val="21"/>
              </w:rPr>
            </w:pPr>
          </w:p>
          <w:p>
            <w:pPr>
              <w:spacing w:line="314" w:lineRule="auto"/>
              <w:rPr>
                <w:rFonts w:ascii="Arial" w:hAnsi="Arial"/>
                <w:sz w:val="21"/>
              </w:rPr>
            </w:pPr>
          </w:p>
          <w:p>
            <w:pPr>
              <w:pStyle w:val="19"/>
              <w:spacing w:before="46" w:line="214" w:lineRule="auto"/>
              <w:ind w:left="17" w:right="15"/>
              <w:jc w:val="both"/>
            </w:pPr>
            <w:r>
              <w:rPr>
                <w:spacing w:val="-1"/>
              </w:rPr>
              <w:t>进一步规范财经</w:t>
            </w:r>
            <w:r>
              <w:rPr>
                <w:spacing w:val="1"/>
              </w:rPr>
              <w:t xml:space="preserve"> </w:t>
            </w:r>
            <w:r>
              <w:rPr>
                <w:spacing w:val="-1"/>
              </w:rPr>
              <w:t>秩序、严肃财经</w:t>
            </w:r>
            <w:r>
              <w:t xml:space="preserve"> </w:t>
            </w:r>
            <w:r>
              <w:rPr>
                <w:spacing w:val="6"/>
              </w:rPr>
              <w:t>纪律。</w:t>
            </w:r>
          </w:p>
        </w:tc>
        <w:tc>
          <w:tcPr>
            <w:tcW w:w="989" w:type="dxa"/>
          </w:tcPr>
          <w:p>
            <w:pPr>
              <w:spacing w:line="276" w:lineRule="auto"/>
              <w:rPr>
                <w:rFonts w:ascii="Arial" w:hAnsi="Arial"/>
                <w:sz w:val="21"/>
              </w:rPr>
            </w:pPr>
          </w:p>
          <w:p>
            <w:pPr>
              <w:spacing w:line="276" w:lineRule="auto"/>
              <w:rPr>
                <w:rFonts w:ascii="Arial" w:hAnsi="Arial"/>
                <w:sz w:val="21"/>
              </w:rPr>
            </w:pPr>
          </w:p>
          <w:p>
            <w:pPr>
              <w:spacing w:line="276" w:lineRule="auto"/>
              <w:rPr>
                <w:rFonts w:ascii="Arial" w:hAnsi="Arial"/>
                <w:sz w:val="21"/>
              </w:rPr>
            </w:pPr>
          </w:p>
          <w:p>
            <w:pPr>
              <w:pStyle w:val="19"/>
              <w:spacing w:before="45" w:line="182" w:lineRule="auto"/>
              <w:ind w:left="48"/>
            </w:pPr>
            <w:r>
              <w:t>4</w:t>
            </w:r>
          </w:p>
        </w:tc>
        <w:tc>
          <w:tcPr>
            <w:tcW w:w="1994" w:type="dxa"/>
          </w:tcPr>
          <w:p>
            <w:pPr>
              <w:pStyle w:val="19"/>
              <w:spacing w:before="108" w:line="216" w:lineRule="auto"/>
              <w:ind w:left="19"/>
              <w:jc w:val="both"/>
            </w:pPr>
          </w:p>
        </w:tc>
      </w:tr>
      <w:tr>
        <w:trPr>
          <w:trHeight w:val="1328"/>
        </w:trPr>
        <w:tc>
          <w:tcPr>
            <w:tcW w:w="615" w:type="dxa"/>
            <w:vMerge/>
            <w:tcBorders>
              <w:top w:val="nil"/>
              <w:bottom w:val="nil"/>
            </w:tcBorders>
            <w:textDirection w:val="tbRlV"/>
          </w:tcPr>
          <w:p/>
        </w:tc>
        <w:tc>
          <w:tcPr>
            <w:tcW w:w="1069" w:type="dxa"/>
            <w:vMerge w:val="restart"/>
            <w:tcBorders>
              <w:bottom w:val="nil"/>
            </w:tcBorders>
          </w:tcPr>
          <w:p>
            <w:pPr>
              <w:spacing w:line="266" w:lineRule="auto"/>
              <w:rPr>
                <w:rFonts w:ascii="Arial" w:hAnsi="Arial"/>
                <w:sz w:val="21"/>
              </w:rPr>
            </w:pPr>
          </w:p>
          <w:p>
            <w:pPr>
              <w:spacing w:line="266" w:lineRule="auto"/>
              <w:rPr>
                <w:rFonts w:ascii="Arial" w:hAnsi="Arial"/>
                <w:sz w:val="21"/>
              </w:rPr>
            </w:pPr>
          </w:p>
          <w:p>
            <w:pPr>
              <w:spacing w:line="266" w:lineRule="auto"/>
              <w:rPr>
                <w:rFonts w:ascii="Arial" w:hAnsi="Arial"/>
                <w:sz w:val="21"/>
              </w:rPr>
            </w:pPr>
          </w:p>
          <w:p>
            <w:pPr>
              <w:spacing w:line="266" w:lineRule="auto"/>
              <w:rPr>
                <w:rFonts w:ascii="Arial" w:hAnsi="Arial"/>
                <w:sz w:val="21"/>
              </w:rPr>
            </w:pPr>
          </w:p>
          <w:p>
            <w:pPr>
              <w:spacing w:line="266" w:lineRule="auto"/>
              <w:rPr>
                <w:rFonts w:ascii="Arial" w:hAnsi="Arial"/>
                <w:sz w:val="21"/>
              </w:rPr>
            </w:pPr>
          </w:p>
          <w:p>
            <w:pPr>
              <w:spacing w:line="266" w:lineRule="auto"/>
              <w:rPr>
                <w:rFonts w:ascii="Arial" w:hAnsi="Arial"/>
                <w:sz w:val="21"/>
              </w:rPr>
            </w:pPr>
          </w:p>
          <w:p>
            <w:pPr>
              <w:spacing w:line="266" w:lineRule="auto"/>
              <w:rPr>
                <w:rFonts w:ascii="Arial" w:hAnsi="Arial"/>
                <w:sz w:val="21"/>
              </w:rPr>
            </w:pPr>
          </w:p>
          <w:p>
            <w:pPr>
              <w:spacing w:line="266" w:lineRule="auto"/>
              <w:rPr>
                <w:rFonts w:ascii="Arial" w:hAnsi="Arial"/>
                <w:sz w:val="21"/>
              </w:rPr>
            </w:pPr>
          </w:p>
          <w:p>
            <w:pPr>
              <w:pStyle w:val="19"/>
              <w:spacing w:before="45" w:line="216" w:lineRule="auto"/>
              <w:ind w:left="38" w:right="4" w:hanging="19"/>
            </w:pPr>
            <w:r>
              <w:rPr>
                <w:spacing w:val="-2"/>
              </w:rPr>
              <w:t>10-其他事务/06-</w:t>
            </w:r>
            <w:r>
              <w:rPr>
                <w:spacing w:val="5"/>
              </w:rPr>
              <w:t xml:space="preserve"> </w:t>
            </w:r>
            <w:r>
              <w:rPr>
                <w:spacing w:val="-1"/>
              </w:rPr>
              <w:t>机关运转保障</w:t>
            </w:r>
          </w:p>
        </w:tc>
        <w:tc>
          <w:tcPr>
            <w:tcW w:w="1619" w:type="dxa"/>
            <w:tcBorders>
              <w:left w:val="single" w:sz="4" w:space="0" w:color="000000"/>
            </w:tcBorders>
          </w:tcPr>
          <w:p>
            <w:pPr>
              <w:spacing w:line="310" w:lineRule="auto"/>
              <w:rPr>
                <w:rFonts w:ascii="Arial" w:hAnsi="Arial"/>
                <w:sz w:val="21"/>
              </w:rPr>
            </w:pPr>
          </w:p>
          <w:p>
            <w:pPr>
              <w:pStyle w:val="19"/>
              <w:spacing w:before="46" w:line="214" w:lineRule="auto"/>
              <w:ind w:left="10" w:firstLine="9"/>
              <w:jc w:val="both"/>
            </w:pPr>
            <w:r>
              <w:rPr>
                <w:spacing w:val="-8"/>
              </w:rPr>
              <w:t>完成预算管理、国库管理、</w:t>
            </w:r>
            <w:r>
              <w:rPr>
                <w:spacing w:val="3"/>
              </w:rPr>
              <w:t xml:space="preserve"> </w:t>
            </w:r>
            <w:r>
              <w:rPr>
                <w:spacing w:val="-13"/>
              </w:rPr>
              <w:t>政策管理、会计管理、财政</w:t>
            </w:r>
            <w:r>
              <w:rPr>
                <w:spacing w:val="4"/>
              </w:rPr>
              <w:t xml:space="preserve">  </w:t>
            </w:r>
            <w:r>
              <w:rPr>
                <w:spacing w:val="-12"/>
              </w:rPr>
              <w:t>监督、国资管理等管理任务</w:t>
            </w:r>
          </w:p>
        </w:tc>
        <w:tc>
          <w:tcPr>
            <w:tcW w:w="899" w:type="dxa"/>
            <w:tcBorders>
              <w:left w:val="single" w:sz="4" w:space="0" w:color="000000"/>
            </w:tcBorders>
          </w:tcPr>
          <w:p>
            <w:pPr>
              <w:spacing w:line="274" w:lineRule="auto"/>
              <w:rPr>
                <w:rFonts w:ascii="Arial" w:hAnsi="Arial"/>
                <w:sz w:val="21"/>
              </w:rPr>
            </w:pPr>
          </w:p>
          <w:p>
            <w:pPr>
              <w:spacing w:line="276" w:lineRule="auto"/>
              <w:rPr>
                <w:rFonts w:ascii="Arial" w:hAnsi="Arial"/>
                <w:sz w:val="21"/>
              </w:rPr>
            </w:pPr>
          </w:p>
          <w:p>
            <w:pPr>
              <w:pStyle w:val="19"/>
              <w:spacing w:before="45" w:line="218" w:lineRule="auto"/>
              <w:ind w:left="31"/>
            </w:pPr>
            <w:r>
              <w:rPr>
                <w:spacing w:val="-2"/>
              </w:rPr>
              <w:t>产出指标</w:t>
            </w:r>
          </w:p>
        </w:tc>
        <w:tc>
          <w:tcPr>
            <w:tcW w:w="909" w:type="dxa"/>
            <w:tcBorders>
              <w:left w:val="single" w:sz="4" w:space="0" w:color="000000"/>
            </w:tcBorders>
          </w:tcPr>
          <w:p>
            <w:pPr>
              <w:spacing w:line="274" w:lineRule="auto"/>
              <w:rPr>
                <w:rFonts w:ascii="Arial" w:hAnsi="Arial"/>
                <w:sz w:val="21"/>
              </w:rPr>
            </w:pPr>
          </w:p>
          <w:p>
            <w:pPr>
              <w:spacing w:line="276" w:lineRule="auto"/>
              <w:rPr>
                <w:rFonts w:ascii="Arial" w:hAnsi="Arial"/>
                <w:sz w:val="21"/>
              </w:rPr>
            </w:pPr>
          </w:p>
          <w:p>
            <w:pPr>
              <w:pStyle w:val="19"/>
              <w:spacing w:before="45" w:line="221" w:lineRule="auto"/>
              <w:ind w:left="32"/>
            </w:pPr>
            <w:r>
              <w:rPr>
                <w:spacing w:val="-2"/>
              </w:rPr>
              <w:t>质量指标</w:t>
            </w:r>
          </w:p>
        </w:tc>
        <w:tc>
          <w:tcPr>
            <w:tcW w:w="1469" w:type="dxa"/>
            <w:tcBorders>
              <w:left w:val="single" w:sz="4" w:space="0" w:color="000000"/>
            </w:tcBorders>
          </w:tcPr>
          <w:p>
            <w:pPr>
              <w:spacing w:line="274" w:lineRule="auto"/>
              <w:rPr>
                <w:rFonts w:ascii="Arial" w:hAnsi="Arial"/>
                <w:sz w:val="21"/>
              </w:rPr>
            </w:pPr>
          </w:p>
          <w:p>
            <w:pPr>
              <w:spacing w:line="276" w:lineRule="auto"/>
              <w:rPr>
                <w:rFonts w:ascii="Arial" w:hAnsi="Arial"/>
                <w:sz w:val="21"/>
              </w:rPr>
            </w:pPr>
          </w:p>
          <w:p>
            <w:pPr>
              <w:pStyle w:val="19"/>
              <w:spacing w:before="45" w:line="218" w:lineRule="auto"/>
              <w:ind w:left="13"/>
            </w:pPr>
            <w:r>
              <w:t>出现重大失误率。</w:t>
            </w:r>
          </w:p>
        </w:tc>
        <w:tc>
          <w:tcPr>
            <w:tcW w:w="909" w:type="dxa"/>
            <w:tcBorders>
              <w:left w:val="single" w:sz="4" w:space="0" w:color="000000"/>
            </w:tcBorders>
          </w:tcPr>
          <w:p>
            <w:pPr>
              <w:spacing w:line="281" w:lineRule="auto"/>
              <w:rPr>
                <w:rFonts w:ascii="Arial" w:hAnsi="Arial"/>
                <w:sz w:val="21"/>
              </w:rPr>
            </w:pPr>
          </w:p>
          <w:p>
            <w:pPr>
              <w:spacing w:line="281" w:lineRule="auto"/>
              <w:rPr>
                <w:rFonts w:ascii="Arial" w:hAnsi="Arial"/>
                <w:sz w:val="21"/>
              </w:rPr>
            </w:pPr>
          </w:p>
          <w:p>
            <w:pPr>
              <w:pStyle w:val="19"/>
              <w:spacing w:before="45" w:line="235" w:lineRule="auto"/>
              <w:ind w:left="25"/>
            </w:pPr>
            <w:r>
              <w:t>≤</w:t>
            </w:r>
          </w:p>
        </w:tc>
        <w:tc>
          <w:tcPr>
            <w:tcW w:w="829" w:type="dxa"/>
            <w:tcBorders>
              <w:left w:val="single" w:sz="4" w:space="0" w:color="000000"/>
            </w:tcBorders>
          </w:tcPr>
          <w:p>
            <w:pPr>
              <w:spacing w:line="293" w:lineRule="auto"/>
              <w:rPr>
                <w:rFonts w:ascii="Arial" w:hAnsi="Arial"/>
                <w:sz w:val="21"/>
              </w:rPr>
            </w:pPr>
          </w:p>
          <w:p>
            <w:pPr>
              <w:spacing w:line="293" w:lineRule="auto"/>
              <w:rPr>
                <w:rFonts w:ascii="Arial" w:hAnsi="Arial"/>
                <w:sz w:val="21"/>
              </w:rPr>
            </w:pPr>
          </w:p>
          <w:p>
            <w:pPr>
              <w:pStyle w:val="19"/>
              <w:spacing w:before="45" w:line="185" w:lineRule="auto"/>
              <w:ind w:left="25"/>
            </w:pPr>
            <w:r>
              <w:t>1</w:t>
            </w:r>
          </w:p>
        </w:tc>
        <w:tc>
          <w:tcPr>
            <w:tcW w:w="1009" w:type="dxa"/>
            <w:tcBorders>
              <w:left w:val="single" w:sz="4" w:space="0" w:color="000000"/>
            </w:tcBorders>
          </w:tcPr>
          <w:p>
            <w:pPr>
              <w:spacing w:line="281" w:lineRule="auto"/>
              <w:rPr>
                <w:rFonts w:ascii="Arial" w:hAnsi="Arial"/>
                <w:sz w:val="21"/>
              </w:rPr>
            </w:pPr>
          </w:p>
          <w:p>
            <w:pPr>
              <w:spacing w:line="281" w:lineRule="auto"/>
              <w:rPr>
                <w:rFonts w:ascii="Arial" w:hAnsi="Arial"/>
                <w:sz w:val="21"/>
              </w:rPr>
            </w:pPr>
          </w:p>
          <w:p>
            <w:pPr>
              <w:pStyle w:val="19"/>
              <w:spacing w:before="45"/>
              <w:ind w:left="36"/>
            </w:pPr>
            <w:r>
              <w:t>%</w:t>
            </w:r>
          </w:p>
        </w:tc>
        <w:tc>
          <w:tcPr>
            <w:tcW w:w="1010" w:type="dxa"/>
            <w:tcBorders>
              <w:left w:val="single" w:sz="4" w:space="0" w:color="000000"/>
            </w:tcBorders>
          </w:tcPr>
          <w:p>
            <w:pPr>
              <w:spacing w:line="293" w:lineRule="auto"/>
              <w:rPr>
                <w:rFonts w:ascii="Arial" w:hAnsi="Arial"/>
                <w:sz w:val="21"/>
              </w:rPr>
            </w:pPr>
          </w:p>
          <w:p>
            <w:pPr>
              <w:spacing w:line="293" w:lineRule="auto"/>
              <w:rPr>
                <w:rFonts w:ascii="Arial" w:hAnsi="Arial"/>
                <w:sz w:val="21"/>
              </w:rPr>
            </w:pPr>
          </w:p>
          <w:p>
            <w:pPr>
              <w:pStyle w:val="19"/>
              <w:spacing w:before="45" w:line="185" w:lineRule="auto"/>
              <w:ind w:left="47"/>
            </w:pPr>
            <w:r>
              <w:rPr>
                <w:spacing w:val="-4"/>
              </w:rPr>
              <w:t>10</w:t>
            </w:r>
          </w:p>
        </w:tc>
        <w:tc>
          <w:tcPr>
            <w:tcW w:w="1019" w:type="dxa"/>
            <w:tcBorders>
              <w:left w:val="single" w:sz="4" w:space="0" w:color="000000"/>
            </w:tcBorders>
          </w:tcPr>
          <w:p>
            <w:pPr>
              <w:spacing w:line="274" w:lineRule="auto"/>
              <w:rPr>
                <w:rFonts w:ascii="Arial" w:hAnsi="Arial"/>
                <w:sz w:val="21"/>
              </w:rPr>
            </w:pPr>
          </w:p>
          <w:p>
            <w:pPr>
              <w:spacing w:line="276" w:lineRule="auto"/>
              <w:rPr>
                <w:rFonts w:ascii="Arial" w:hAnsi="Arial"/>
                <w:sz w:val="21"/>
              </w:rPr>
            </w:pPr>
          </w:p>
          <w:p>
            <w:pPr>
              <w:pStyle w:val="19"/>
              <w:spacing w:before="45" w:line="221" w:lineRule="auto"/>
              <w:ind w:left="17"/>
            </w:pPr>
            <w:r>
              <w:rPr>
                <w:spacing w:val="-1"/>
              </w:rPr>
              <w:t>未出现重大失误</w:t>
            </w:r>
          </w:p>
        </w:tc>
        <w:tc>
          <w:tcPr>
            <w:tcW w:w="989" w:type="dxa"/>
            <w:tcBorders>
              <w:left w:val="single" w:sz="4" w:space="0" w:color="000000"/>
            </w:tcBorders>
          </w:tcPr>
          <w:p>
            <w:pPr>
              <w:spacing w:line="293" w:lineRule="auto"/>
              <w:rPr>
                <w:rFonts w:ascii="Arial" w:hAnsi="Arial"/>
                <w:sz w:val="21"/>
              </w:rPr>
            </w:pPr>
          </w:p>
          <w:p>
            <w:pPr>
              <w:spacing w:line="293" w:lineRule="auto"/>
              <w:rPr>
                <w:rFonts w:ascii="Arial" w:hAnsi="Arial"/>
                <w:sz w:val="21"/>
              </w:rPr>
            </w:pPr>
          </w:p>
          <w:p>
            <w:pPr>
              <w:pStyle w:val="19"/>
              <w:spacing w:before="45" w:line="185" w:lineRule="auto"/>
              <w:ind w:left="48"/>
            </w:pPr>
            <w:r>
              <w:rPr>
                <w:spacing w:val="-4"/>
              </w:rPr>
              <w:t>10</w:t>
            </w:r>
          </w:p>
        </w:tc>
        <w:tc>
          <w:tcPr>
            <w:tcW w:w="1994" w:type="dxa"/>
            <w:tcBorders>
              <w:left w:val="single" w:sz="4" w:space="0" w:color="000000"/>
            </w:tcBorders>
          </w:tcPr>
          <w:p>
            <w:pPr>
              <w:rPr>
                <w:rFonts w:ascii="Arial" w:hAnsi="Arial"/>
                <w:sz w:val="21"/>
              </w:rPr>
            </w:pPr>
          </w:p>
        </w:tc>
      </w:tr>
      <w:tr>
        <w:trPr>
          <w:trHeight w:val="659"/>
        </w:trPr>
        <w:tc>
          <w:tcPr>
            <w:tcW w:w="615" w:type="dxa"/>
            <w:vMerge/>
            <w:tcBorders>
              <w:top w:val="nil"/>
              <w:bottom w:val="nil"/>
            </w:tcBorders>
            <w:textDirection w:val="tbRlV"/>
          </w:tcPr>
          <w:p/>
        </w:tc>
        <w:tc>
          <w:tcPr>
            <w:tcW w:w="1069" w:type="dxa"/>
            <w:vMerge/>
            <w:tcBorders>
              <w:top w:val="nil"/>
              <w:bottom w:val="nil"/>
            </w:tcBorders>
          </w:tcPr>
          <w:p/>
        </w:tc>
        <w:tc>
          <w:tcPr>
            <w:tcW w:w="1619" w:type="dxa"/>
            <w:tcBorders>
              <w:left w:val="single" w:sz="4" w:space="0" w:color="000000"/>
            </w:tcBorders>
          </w:tcPr>
          <w:p>
            <w:pPr>
              <w:pStyle w:val="19"/>
              <w:spacing w:before="189" w:line="216" w:lineRule="auto"/>
              <w:ind w:left="10"/>
            </w:pPr>
            <w:r>
              <w:rPr>
                <w:spacing w:val="-7"/>
              </w:rPr>
              <w:t>在规定时间内圆满完成各项</w:t>
            </w:r>
            <w:r>
              <w:rPr>
                <w:spacing w:val="1"/>
              </w:rPr>
              <w:t xml:space="preserve"> </w:t>
            </w:r>
            <w:r>
              <w:rPr>
                <w:spacing w:val="-1"/>
              </w:rPr>
              <w:t>管理工作。</w:t>
            </w:r>
          </w:p>
        </w:tc>
        <w:tc>
          <w:tcPr>
            <w:tcW w:w="899" w:type="dxa"/>
            <w:tcBorders>
              <w:left w:val="single" w:sz="4" w:space="0" w:color="000000"/>
            </w:tcBorders>
          </w:tcPr>
          <w:p>
            <w:pPr>
              <w:pStyle w:val="19"/>
              <w:spacing w:before="259" w:line="218" w:lineRule="auto"/>
              <w:ind w:left="31"/>
            </w:pPr>
            <w:r>
              <w:rPr>
                <w:spacing w:val="-2"/>
              </w:rPr>
              <w:t>产出指标</w:t>
            </w:r>
          </w:p>
        </w:tc>
        <w:tc>
          <w:tcPr>
            <w:tcW w:w="909" w:type="dxa"/>
            <w:tcBorders>
              <w:left w:val="single" w:sz="4" w:space="0" w:color="000000"/>
            </w:tcBorders>
          </w:tcPr>
          <w:p>
            <w:pPr>
              <w:pStyle w:val="19"/>
              <w:spacing w:before="260" w:line="221" w:lineRule="auto"/>
              <w:ind w:left="32"/>
            </w:pPr>
            <w:r>
              <w:rPr>
                <w:spacing w:val="-3"/>
              </w:rPr>
              <w:t>时效指标</w:t>
            </w:r>
          </w:p>
        </w:tc>
        <w:tc>
          <w:tcPr>
            <w:tcW w:w="1469" w:type="dxa"/>
            <w:tcBorders>
              <w:left w:val="single" w:sz="4" w:space="0" w:color="000000"/>
            </w:tcBorders>
          </w:tcPr>
          <w:p>
            <w:pPr>
              <w:pStyle w:val="19"/>
              <w:spacing w:before="259" w:line="218" w:lineRule="auto"/>
              <w:ind w:left="13"/>
            </w:pPr>
            <w:r>
              <w:t>项目按期完成率。</w:t>
            </w:r>
          </w:p>
        </w:tc>
        <w:tc>
          <w:tcPr>
            <w:tcW w:w="909" w:type="dxa"/>
            <w:tcBorders>
              <w:left w:val="single" w:sz="4" w:space="0" w:color="000000"/>
            </w:tcBorders>
          </w:tcPr>
          <w:p>
            <w:pPr>
              <w:pStyle w:val="19"/>
              <w:spacing w:before="273" w:line="238" w:lineRule="auto"/>
              <w:ind w:left="25"/>
            </w:pPr>
            <w:r>
              <w:t>≥</w:t>
            </w:r>
          </w:p>
        </w:tc>
        <w:tc>
          <w:tcPr>
            <w:tcW w:w="829" w:type="dxa"/>
            <w:tcBorders>
              <w:left w:val="single" w:sz="4" w:space="0" w:color="000000"/>
            </w:tcBorders>
          </w:tcPr>
          <w:p>
            <w:pPr>
              <w:spacing w:line="247" w:lineRule="auto"/>
              <w:rPr>
                <w:rFonts w:ascii="Arial" w:hAnsi="Arial"/>
                <w:sz w:val="21"/>
              </w:rPr>
            </w:pPr>
          </w:p>
          <w:p>
            <w:pPr>
              <w:pStyle w:val="19"/>
              <w:spacing w:before="46" w:line="182" w:lineRule="auto"/>
              <w:ind w:left="25"/>
            </w:pPr>
            <w:r>
              <w:rPr>
                <w:spacing w:val="-2"/>
              </w:rPr>
              <w:t>95</w:t>
            </w:r>
          </w:p>
        </w:tc>
        <w:tc>
          <w:tcPr>
            <w:tcW w:w="1009" w:type="dxa"/>
            <w:tcBorders>
              <w:left w:val="single" w:sz="4" w:space="0" w:color="000000"/>
            </w:tcBorders>
          </w:tcPr>
          <w:p>
            <w:pPr>
              <w:pStyle w:val="19"/>
              <w:spacing w:before="273"/>
              <w:ind w:left="36"/>
            </w:pPr>
            <w:r>
              <w:t>%</w:t>
            </w:r>
          </w:p>
        </w:tc>
        <w:tc>
          <w:tcPr>
            <w:tcW w:w="1010" w:type="dxa"/>
            <w:tcBorders>
              <w:left w:val="single" w:sz="4" w:space="0" w:color="000000"/>
            </w:tcBorders>
          </w:tcPr>
          <w:p>
            <w:pPr>
              <w:rPr>
                <w:rFonts w:ascii="Arial" w:hAnsi="Arial"/>
                <w:sz w:val="21"/>
              </w:rPr>
            </w:pPr>
          </w:p>
        </w:tc>
        <w:tc>
          <w:tcPr>
            <w:tcW w:w="1019" w:type="dxa"/>
            <w:tcBorders>
              <w:left w:val="single" w:sz="4" w:space="0" w:color="000000"/>
            </w:tcBorders>
          </w:tcPr>
          <w:p>
            <w:pPr>
              <w:pStyle w:val="19"/>
              <w:spacing w:before="100" w:line="238" w:lineRule="auto"/>
              <w:ind w:left="17" w:right="15"/>
            </w:pPr>
            <w:r>
              <w:rPr>
                <w:spacing w:val="-1"/>
              </w:rPr>
              <w:t>在规定时间内圆</w:t>
            </w:r>
            <w:r>
              <w:rPr>
                <w:spacing w:val="1"/>
              </w:rPr>
              <w:t xml:space="preserve"> </w:t>
            </w:r>
            <w:r>
              <w:rPr>
                <w:spacing w:val="-1"/>
              </w:rPr>
              <w:t>满完成各项工作</w:t>
            </w:r>
          </w:p>
        </w:tc>
        <w:tc>
          <w:tcPr>
            <w:tcW w:w="989" w:type="dxa"/>
            <w:tcBorders>
              <w:left w:val="single" w:sz="4" w:space="0" w:color="000000"/>
            </w:tcBorders>
          </w:tcPr>
          <w:p>
            <w:pPr>
              <w:spacing w:line="247" w:lineRule="auto"/>
              <w:rPr>
                <w:rFonts w:ascii="Arial" w:hAnsi="Arial"/>
                <w:sz w:val="21"/>
              </w:rPr>
            </w:pPr>
          </w:p>
          <w:p>
            <w:pPr>
              <w:pStyle w:val="19"/>
              <w:spacing w:before="46" w:line="182" w:lineRule="auto"/>
              <w:ind w:left="48"/>
            </w:pPr>
            <w:r>
              <w:t>4</w:t>
            </w:r>
          </w:p>
        </w:tc>
        <w:tc>
          <w:tcPr>
            <w:tcW w:w="1994" w:type="dxa"/>
            <w:tcBorders>
              <w:left w:val="single" w:sz="4" w:space="0" w:color="000000"/>
            </w:tcBorders>
          </w:tcPr>
          <w:p>
            <w:pPr>
              <w:pStyle w:val="19"/>
              <w:spacing w:before="109" w:line="223" w:lineRule="auto"/>
              <w:ind w:left="19" w:firstLine="20"/>
              <w:jc w:val="both"/>
            </w:pPr>
          </w:p>
        </w:tc>
      </w:tr>
      <w:tr>
        <w:trPr>
          <w:trHeight w:val="500"/>
        </w:trPr>
        <w:tc>
          <w:tcPr>
            <w:tcW w:w="615" w:type="dxa"/>
            <w:vMerge/>
            <w:tcBorders>
              <w:top w:val="nil"/>
              <w:bottom w:val="nil"/>
            </w:tcBorders>
            <w:textDirection w:val="tbRlV"/>
          </w:tcPr>
          <w:p/>
        </w:tc>
        <w:tc>
          <w:tcPr>
            <w:tcW w:w="1069" w:type="dxa"/>
            <w:vMerge/>
            <w:tcBorders>
              <w:top w:val="nil"/>
              <w:bottom w:val="nil"/>
            </w:tcBorders>
          </w:tcPr>
          <w:p/>
        </w:tc>
        <w:tc>
          <w:tcPr>
            <w:tcW w:w="1619" w:type="dxa"/>
            <w:tcBorders>
              <w:left w:val="single" w:sz="4" w:space="0" w:color="000000"/>
            </w:tcBorders>
          </w:tcPr>
          <w:p>
            <w:pPr>
              <w:pStyle w:val="19"/>
              <w:spacing w:before="90" w:line="230" w:lineRule="auto"/>
              <w:ind w:left="10" w:right="2"/>
            </w:pPr>
            <w:r>
              <w:rPr>
                <w:spacing w:val="-8"/>
              </w:rPr>
              <w:t>财政资金发挥效益并节约财</w:t>
            </w:r>
            <w:r>
              <w:rPr>
                <w:spacing w:val="10"/>
              </w:rPr>
              <w:t xml:space="preserve"> </w:t>
            </w:r>
            <w:r>
              <w:t>政资金。</w:t>
            </w:r>
          </w:p>
        </w:tc>
        <w:tc>
          <w:tcPr>
            <w:tcW w:w="899" w:type="dxa"/>
            <w:tcBorders>
              <w:left w:val="single" w:sz="4" w:space="0" w:color="000000"/>
            </w:tcBorders>
          </w:tcPr>
          <w:p>
            <w:pPr>
              <w:pStyle w:val="19"/>
              <w:spacing w:before="180" w:line="218" w:lineRule="auto"/>
              <w:ind w:left="31"/>
            </w:pPr>
            <w:r>
              <w:rPr>
                <w:spacing w:val="-2"/>
              </w:rPr>
              <w:t>产出指标</w:t>
            </w:r>
          </w:p>
        </w:tc>
        <w:tc>
          <w:tcPr>
            <w:tcW w:w="909" w:type="dxa"/>
            <w:tcBorders>
              <w:left w:val="single" w:sz="4" w:space="0" w:color="000000"/>
            </w:tcBorders>
          </w:tcPr>
          <w:p>
            <w:pPr>
              <w:pStyle w:val="19"/>
              <w:spacing w:before="179" w:line="218" w:lineRule="auto"/>
              <w:ind w:left="32"/>
            </w:pPr>
            <w:r>
              <w:rPr>
                <w:spacing w:val="-2"/>
              </w:rPr>
              <w:t>成本指标</w:t>
            </w:r>
          </w:p>
        </w:tc>
        <w:tc>
          <w:tcPr>
            <w:tcW w:w="1469" w:type="dxa"/>
            <w:tcBorders>
              <w:left w:val="single" w:sz="4" w:space="0" w:color="000000"/>
            </w:tcBorders>
          </w:tcPr>
          <w:p>
            <w:pPr>
              <w:pStyle w:val="19"/>
              <w:spacing w:before="180" w:line="218" w:lineRule="auto"/>
              <w:ind w:left="13"/>
            </w:pPr>
            <w:r>
              <w:t>不超预算实施。</w:t>
            </w:r>
          </w:p>
        </w:tc>
        <w:tc>
          <w:tcPr>
            <w:tcW w:w="909" w:type="dxa"/>
            <w:tcBorders>
              <w:left w:val="single" w:sz="4" w:space="0" w:color="000000"/>
            </w:tcBorders>
          </w:tcPr>
          <w:p>
            <w:pPr>
              <w:pStyle w:val="19"/>
              <w:spacing w:before="193" w:line="235" w:lineRule="auto"/>
              <w:ind w:left="25"/>
            </w:pPr>
            <w:r>
              <w:t>≤</w:t>
            </w:r>
          </w:p>
        </w:tc>
        <w:tc>
          <w:tcPr>
            <w:tcW w:w="829" w:type="dxa"/>
            <w:tcBorders>
              <w:left w:val="single" w:sz="4" w:space="0" w:color="000000"/>
            </w:tcBorders>
          </w:tcPr>
          <w:p>
            <w:pPr>
              <w:pStyle w:val="19"/>
              <w:spacing w:before="216" w:line="185" w:lineRule="auto"/>
              <w:ind w:left="25"/>
            </w:pPr>
            <w:r>
              <w:rPr>
                <w:spacing w:val="-1"/>
              </w:rPr>
              <w:t>21098.44</w:t>
            </w:r>
          </w:p>
        </w:tc>
        <w:tc>
          <w:tcPr>
            <w:tcW w:w="1009" w:type="dxa"/>
            <w:tcBorders>
              <w:left w:val="single" w:sz="4" w:space="0" w:color="000000"/>
            </w:tcBorders>
          </w:tcPr>
          <w:p>
            <w:pPr>
              <w:pStyle w:val="19"/>
              <w:spacing w:before="181" w:line="221" w:lineRule="auto"/>
              <w:ind w:left="36"/>
            </w:pPr>
            <w:r>
              <w:rPr>
                <w:spacing w:val="-3"/>
              </w:rPr>
              <w:t>万元</w:t>
            </w:r>
          </w:p>
        </w:tc>
        <w:tc>
          <w:tcPr>
            <w:tcW w:w="1010" w:type="dxa"/>
            <w:tcBorders>
              <w:left w:val="single" w:sz="4" w:space="0" w:color="000000"/>
            </w:tcBorders>
          </w:tcPr>
          <w:p>
            <w:pPr>
              <w:rPr>
                <w:rFonts w:ascii="Arial" w:hAnsi="Arial"/>
                <w:sz w:val="21"/>
              </w:rPr>
            </w:pPr>
          </w:p>
        </w:tc>
        <w:tc>
          <w:tcPr>
            <w:tcW w:w="1019" w:type="dxa"/>
            <w:tcBorders>
              <w:left w:val="single" w:sz="4" w:space="0" w:color="000000"/>
            </w:tcBorders>
          </w:tcPr>
          <w:p>
            <w:pPr>
              <w:pStyle w:val="19"/>
              <w:spacing w:before="120" w:line="216" w:lineRule="auto"/>
              <w:ind w:left="47" w:firstLine="39"/>
            </w:pPr>
            <w:r>
              <w:rPr>
                <w:spacing w:val="-4"/>
              </w:rPr>
              <w:t>预算支出总额</w:t>
            </w:r>
            <w:r>
              <w:t xml:space="preserve">  </w:t>
            </w:r>
            <w:r>
              <w:rPr>
                <w:spacing w:val="-2"/>
              </w:rPr>
              <w:t>18215.69万元。</w:t>
            </w:r>
          </w:p>
        </w:tc>
        <w:tc>
          <w:tcPr>
            <w:tcW w:w="989" w:type="dxa"/>
            <w:tcBorders>
              <w:left w:val="single" w:sz="4" w:space="0" w:color="000000"/>
            </w:tcBorders>
          </w:tcPr>
          <w:p>
            <w:pPr>
              <w:pStyle w:val="19"/>
              <w:spacing w:before="217" w:line="182" w:lineRule="auto"/>
              <w:ind w:left="48"/>
            </w:pPr>
            <w:r>
              <w:t>5</w:t>
            </w:r>
          </w:p>
        </w:tc>
        <w:tc>
          <w:tcPr>
            <w:tcW w:w="1994" w:type="dxa"/>
            <w:tcBorders>
              <w:left w:val="single" w:sz="4" w:space="0" w:color="000000"/>
            </w:tcBorders>
          </w:tcPr>
          <w:p>
            <w:pPr>
              <w:rPr>
                <w:rFonts w:ascii="Arial" w:hAnsi="Arial"/>
                <w:sz w:val="21"/>
              </w:rPr>
            </w:pPr>
          </w:p>
        </w:tc>
      </w:tr>
      <w:tr>
        <w:trPr>
          <w:trHeight w:val="509"/>
        </w:trPr>
        <w:tc>
          <w:tcPr>
            <w:tcW w:w="615" w:type="dxa"/>
            <w:vMerge/>
            <w:tcBorders>
              <w:top w:val="nil"/>
              <w:bottom w:val="nil"/>
            </w:tcBorders>
            <w:textDirection w:val="tbRlV"/>
          </w:tcPr>
          <w:p/>
        </w:tc>
        <w:tc>
          <w:tcPr>
            <w:tcW w:w="1069" w:type="dxa"/>
            <w:vMerge/>
            <w:tcBorders>
              <w:top w:val="nil"/>
              <w:bottom w:val="nil"/>
            </w:tcBorders>
          </w:tcPr>
          <w:p/>
        </w:tc>
        <w:tc>
          <w:tcPr>
            <w:tcW w:w="1619" w:type="dxa"/>
            <w:tcBorders>
              <w:left w:val="single" w:sz="4" w:space="0" w:color="000000"/>
            </w:tcBorders>
          </w:tcPr>
          <w:p>
            <w:pPr>
              <w:pStyle w:val="19"/>
              <w:spacing w:before="109" w:line="218" w:lineRule="auto"/>
              <w:jc w:val="right"/>
            </w:pPr>
            <w:r>
              <w:rPr>
                <w:spacing w:val="-9"/>
              </w:rPr>
              <w:t>提高</w:t>
            </w:r>
            <w:r>
              <w:rPr>
                <w:spacing w:val="-8"/>
              </w:rPr>
              <w:t>干部职工的工作积极</w:t>
            </w:r>
            <w:r>
              <w:rPr>
                <w:spacing w:val="-6"/>
              </w:rPr>
              <w:t>性</w:t>
            </w:r>
          </w:p>
        </w:tc>
        <w:tc>
          <w:tcPr>
            <w:tcW w:w="899" w:type="dxa"/>
            <w:tcBorders>
              <w:left w:val="single" w:sz="4" w:space="0" w:color="000000"/>
            </w:tcBorders>
          </w:tcPr>
          <w:p>
            <w:pPr>
              <w:pStyle w:val="19"/>
              <w:spacing w:before="191" w:line="221" w:lineRule="auto"/>
              <w:ind w:left="31"/>
            </w:pPr>
            <w:r>
              <w:rPr>
                <w:spacing w:val="-2"/>
              </w:rPr>
              <w:t>效益指标</w:t>
            </w:r>
          </w:p>
        </w:tc>
        <w:tc>
          <w:tcPr>
            <w:tcW w:w="909" w:type="dxa"/>
            <w:tcBorders>
              <w:left w:val="single" w:sz="4" w:space="0" w:color="000000"/>
            </w:tcBorders>
          </w:tcPr>
          <w:p>
            <w:pPr>
              <w:pStyle w:val="19"/>
              <w:spacing w:before="189" w:line="218" w:lineRule="auto"/>
              <w:ind w:left="32"/>
            </w:pPr>
            <w:r>
              <w:rPr>
                <w:spacing w:val="-1"/>
              </w:rPr>
              <w:t>社会效益指标</w:t>
            </w:r>
          </w:p>
        </w:tc>
        <w:tc>
          <w:tcPr>
            <w:tcW w:w="1469" w:type="dxa"/>
            <w:tcBorders>
              <w:left w:val="single" w:sz="4" w:space="0" w:color="000000"/>
            </w:tcBorders>
          </w:tcPr>
          <w:p>
            <w:pPr>
              <w:pStyle w:val="19"/>
              <w:spacing w:before="110" w:line="257" w:lineRule="auto"/>
              <w:ind w:left="13"/>
            </w:pPr>
            <w:r>
              <w:rPr>
                <w:spacing w:val="-10"/>
              </w:rPr>
              <w:t>提高</w:t>
            </w:r>
            <w:r>
              <w:rPr>
                <w:spacing w:val="-9"/>
              </w:rPr>
              <w:t>于部职工的工作积</w:t>
            </w:r>
            <w:r>
              <w:rPr>
                <w:spacing w:val="-7"/>
              </w:rPr>
              <w:t>极</w:t>
            </w:r>
            <w:r>
              <w:rPr>
                <w:spacing w:val="3"/>
              </w:rPr>
              <w:t xml:space="preserve"> </w:t>
            </w:r>
            <w:r>
              <w:rPr>
                <w:spacing w:val="-1"/>
              </w:rPr>
              <w:t>性。</w:t>
            </w:r>
          </w:p>
        </w:tc>
        <w:tc>
          <w:tcPr>
            <w:tcW w:w="909" w:type="dxa"/>
            <w:tcBorders>
              <w:left w:val="single" w:sz="4" w:space="0" w:color="000000"/>
            </w:tcBorders>
          </w:tcPr>
          <w:p>
            <w:pPr>
              <w:pStyle w:val="19"/>
              <w:spacing w:before="191" w:line="221" w:lineRule="auto"/>
              <w:ind w:left="25"/>
            </w:pPr>
            <w:r>
              <w:rPr>
                <w:spacing w:val="-3"/>
              </w:rPr>
              <w:t>定性</w:t>
            </w:r>
          </w:p>
        </w:tc>
        <w:tc>
          <w:tcPr>
            <w:tcW w:w="829" w:type="dxa"/>
            <w:tcBorders>
              <w:left w:val="single" w:sz="4" w:space="0" w:color="000000"/>
            </w:tcBorders>
          </w:tcPr>
          <w:p>
            <w:pPr>
              <w:pStyle w:val="19"/>
              <w:spacing w:before="189" w:line="218" w:lineRule="auto"/>
              <w:ind w:left="25"/>
            </w:pPr>
            <w:r>
              <w:rPr>
                <w:spacing w:val="-2"/>
              </w:rPr>
              <w:t>大幅度提升</w:t>
            </w:r>
          </w:p>
        </w:tc>
        <w:tc>
          <w:tcPr>
            <w:tcW w:w="1009" w:type="dxa"/>
            <w:tcBorders>
              <w:left w:val="single" w:sz="4" w:space="0" w:color="000000"/>
            </w:tcBorders>
          </w:tcPr>
          <w:p>
            <w:pPr>
              <w:rPr>
                <w:rFonts w:ascii="Arial" w:hAnsi="Arial"/>
                <w:sz w:val="21"/>
              </w:rPr>
            </w:pPr>
          </w:p>
        </w:tc>
        <w:tc>
          <w:tcPr>
            <w:tcW w:w="1010" w:type="dxa"/>
            <w:tcBorders>
              <w:left w:val="single" w:sz="4" w:space="0" w:color="000000"/>
            </w:tcBorders>
          </w:tcPr>
          <w:p>
            <w:pPr>
              <w:pStyle w:val="19"/>
              <w:spacing w:before="226" w:line="185" w:lineRule="auto"/>
              <w:ind w:left="47"/>
            </w:pPr>
            <w:r>
              <w:rPr>
                <w:spacing w:val="-4"/>
              </w:rPr>
              <w:t>10</w:t>
            </w:r>
          </w:p>
        </w:tc>
        <w:tc>
          <w:tcPr>
            <w:tcW w:w="1019" w:type="dxa"/>
            <w:tcBorders>
              <w:left w:val="single" w:sz="4" w:space="0" w:color="000000"/>
            </w:tcBorders>
          </w:tcPr>
          <w:p>
            <w:pPr>
              <w:pStyle w:val="19"/>
              <w:spacing w:before="39" w:line="202" w:lineRule="auto"/>
              <w:ind w:left="17" w:right="17"/>
              <w:jc w:val="both"/>
            </w:pPr>
            <w:r>
              <w:rPr>
                <w:spacing w:val="-2"/>
              </w:rPr>
              <w:t>大幅度提升干部</w:t>
            </w:r>
            <w:r>
              <w:rPr>
                <w:spacing w:val="5"/>
              </w:rPr>
              <w:t xml:space="preserve"> </w:t>
            </w:r>
            <w:r>
              <w:rPr>
                <w:spacing w:val="-1"/>
              </w:rPr>
              <w:t>职工的工作积极</w:t>
            </w:r>
            <w:r>
              <w:t xml:space="preserve"> </w:t>
            </w:r>
            <w:r>
              <w:rPr>
                <w:spacing w:val="5"/>
              </w:rPr>
              <w:t>性。</w:t>
            </w:r>
          </w:p>
        </w:tc>
        <w:tc>
          <w:tcPr>
            <w:tcW w:w="989" w:type="dxa"/>
            <w:tcBorders>
              <w:left w:val="single" w:sz="4" w:space="0" w:color="000000"/>
            </w:tcBorders>
          </w:tcPr>
          <w:p>
            <w:pPr>
              <w:pStyle w:val="19"/>
              <w:spacing w:before="226" w:line="185" w:lineRule="auto"/>
              <w:ind w:left="48"/>
            </w:pPr>
            <w:r>
              <w:rPr>
                <w:spacing w:val="-4"/>
              </w:rPr>
              <w:t>10</w:t>
            </w:r>
          </w:p>
        </w:tc>
        <w:tc>
          <w:tcPr>
            <w:tcW w:w="1994" w:type="dxa"/>
            <w:tcBorders>
              <w:left w:val="single" w:sz="4" w:space="0" w:color="000000"/>
            </w:tcBorders>
          </w:tcPr>
          <w:p>
            <w:pPr>
              <w:rPr>
                <w:rFonts w:ascii="Arial" w:hAnsi="Arial"/>
                <w:sz w:val="21"/>
              </w:rPr>
            </w:pPr>
          </w:p>
        </w:tc>
      </w:tr>
      <w:tr>
        <w:trPr>
          <w:trHeight w:val="500"/>
        </w:trPr>
        <w:tc>
          <w:tcPr>
            <w:tcW w:w="615" w:type="dxa"/>
            <w:vMerge/>
            <w:tcBorders>
              <w:top w:val="nil"/>
              <w:bottom w:val="nil"/>
            </w:tcBorders>
            <w:textDirection w:val="tbRlV"/>
          </w:tcPr>
          <w:p/>
        </w:tc>
        <w:tc>
          <w:tcPr>
            <w:tcW w:w="1069" w:type="dxa"/>
            <w:vMerge/>
            <w:tcBorders>
              <w:top w:val="nil"/>
              <w:bottom w:val="nil"/>
            </w:tcBorders>
          </w:tcPr>
          <w:p/>
        </w:tc>
        <w:tc>
          <w:tcPr>
            <w:tcW w:w="1619" w:type="dxa"/>
            <w:tcBorders>
              <w:left w:val="single" w:sz="4" w:space="0" w:color="000000"/>
            </w:tcBorders>
          </w:tcPr>
          <w:p>
            <w:pPr>
              <w:pStyle w:val="19"/>
              <w:spacing w:before="92" w:line="238" w:lineRule="auto"/>
              <w:ind w:left="10" w:right="2"/>
            </w:pPr>
            <w:r>
              <w:rPr>
                <w:spacing w:val="-8"/>
              </w:rPr>
              <w:t>保障我区财政事业健康稳健</w:t>
            </w:r>
            <w:r>
              <w:rPr>
                <w:spacing w:val="10"/>
              </w:rPr>
              <w:t xml:space="preserve"> </w:t>
            </w:r>
            <w:r>
              <w:rPr>
                <w:spacing w:val="-1"/>
              </w:rPr>
              <w:t>发展。</w:t>
            </w:r>
          </w:p>
        </w:tc>
        <w:tc>
          <w:tcPr>
            <w:tcW w:w="899" w:type="dxa"/>
            <w:tcBorders>
              <w:left w:val="single" w:sz="4" w:space="0" w:color="000000"/>
            </w:tcBorders>
          </w:tcPr>
          <w:p>
            <w:pPr>
              <w:pStyle w:val="19"/>
              <w:spacing w:before="182" w:line="221" w:lineRule="auto"/>
              <w:ind w:left="31"/>
            </w:pPr>
            <w:r>
              <w:rPr>
                <w:spacing w:val="-2"/>
              </w:rPr>
              <w:t>效益指标</w:t>
            </w:r>
          </w:p>
        </w:tc>
        <w:tc>
          <w:tcPr>
            <w:tcW w:w="909" w:type="dxa"/>
            <w:tcBorders>
              <w:left w:val="single" w:sz="4" w:space="0" w:color="000000"/>
            </w:tcBorders>
          </w:tcPr>
          <w:p>
            <w:pPr>
              <w:pStyle w:val="19"/>
              <w:spacing w:before="120" w:line="223" w:lineRule="auto"/>
              <w:ind w:left="32" w:right="32"/>
            </w:pPr>
            <w:r>
              <w:rPr>
                <w:spacing w:val="-2"/>
              </w:rPr>
              <w:t>可持续影响指</w:t>
            </w:r>
            <w:r>
              <w:rPr>
                <w:spacing w:val="4"/>
              </w:rPr>
              <w:t xml:space="preserve"> </w:t>
            </w:r>
            <w:r>
              <w:t>标</w:t>
            </w:r>
          </w:p>
        </w:tc>
        <w:tc>
          <w:tcPr>
            <w:tcW w:w="1469" w:type="dxa"/>
            <w:tcBorders>
              <w:left w:val="single" w:sz="4" w:space="0" w:color="000000"/>
            </w:tcBorders>
          </w:tcPr>
          <w:p>
            <w:pPr>
              <w:pStyle w:val="19"/>
              <w:spacing w:before="111" w:line="228" w:lineRule="auto"/>
              <w:ind w:left="13"/>
            </w:pPr>
            <w:r>
              <w:rPr>
                <w:spacing w:val="-10"/>
              </w:rPr>
              <w:t>营造</w:t>
            </w:r>
            <w:r>
              <w:rPr>
                <w:spacing w:val="-9"/>
              </w:rPr>
              <w:t>“花钱必问效，无</w:t>
            </w:r>
            <w:r>
              <w:rPr>
                <w:spacing w:val="-7"/>
              </w:rPr>
              <w:t>效</w:t>
            </w:r>
            <w:r>
              <w:rPr>
                <w:spacing w:val="3"/>
              </w:rPr>
              <w:t xml:space="preserve"> </w:t>
            </w:r>
            <w:r>
              <w:rPr>
                <w:spacing w:val="-1"/>
              </w:rPr>
              <w:t>必问责”的舆论氛围。</w:t>
            </w:r>
          </w:p>
        </w:tc>
        <w:tc>
          <w:tcPr>
            <w:tcW w:w="909" w:type="dxa"/>
            <w:tcBorders>
              <w:left w:val="single" w:sz="4" w:space="0" w:color="000000"/>
            </w:tcBorders>
          </w:tcPr>
          <w:p>
            <w:pPr>
              <w:pStyle w:val="19"/>
              <w:spacing w:before="182" w:line="221" w:lineRule="auto"/>
              <w:ind w:left="25"/>
            </w:pPr>
            <w:r>
              <w:rPr>
                <w:spacing w:val="-3"/>
              </w:rPr>
              <w:t>定性</w:t>
            </w:r>
          </w:p>
        </w:tc>
        <w:tc>
          <w:tcPr>
            <w:tcW w:w="829" w:type="dxa"/>
            <w:tcBorders>
              <w:left w:val="single" w:sz="4" w:space="0" w:color="000000"/>
            </w:tcBorders>
          </w:tcPr>
          <w:p>
            <w:pPr>
              <w:pStyle w:val="19"/>
              <w:spacing w:before="181" w:line="218" w:lineRule="auto"/>
              <w:ind w:left="25"/>
            </w:pPr>
            <w:r>
              <w:rPr>
                <w:spacing w:val="-2"/>
              </w:rPr>
              <w:t>持续影响</w:t>
            </w:r>
          </w:p>
        </w:tc>
        <w:tc>
          <w:tcPr>
            <w:tcW w:w="1009" w:type="dxa"/>
            <w:tcBorders>
              <w:left w:val="single" w:sz="4" w:space="0" w:color="000000"/>
            </w:tcBorders>
          </w:tcPr>
          <w:p>
            <w:pPr>
              <w:rPr>
                <w:rFonts w:ascii="Arial" w:hAnsi="Arial"/>
                <w:sz w:val="21"/>
              </w:rPr>
            </w:pPr>
          </w:p>
        </w:tc>
        <w:tc>
          <w:tcPr>
            <w:tcW w:w="1010" w:type="dxa"/>
            <w:tcBorders>
              <w:left w:val="single" w:sz="4" w:space="0" w:color="000000"/>
            </w:tcBorders>
          </w:tcPr>
          <w:p>
            <w:pPr>
              <w:pStyle w:val="19"/>
              <w:spacing w:before="257" w:line="185" w:lineRule="auto"/>
              <w:ind w:left="47"/>
            </w:pPr>
            <w:r>
              <w:rPr>
                <w:spacing w:val="-4"/>
              </w:rPr>
              <w:t>10</w:t>
            </w:r>
          </w:p>
        </w:tc>
        <w:tc>
          <w:tcPr>
            <w:tcW w:w="1019" w:type="dxa"/>
            <w:tcBorders>
              <w:left w:val="single" w:sz="4" w:space="0" w:color="000000"/>
            </w:tcBorders>
          </w:tcPr>
          <w:p>
            <w:pPr>
              <w:pStyle w:val="19"/>
              <w:spacing w:before="53" w:line="192" w:lineRule="auto"/>
              <w:ind w:left="26" w:hanging="9"/>
              <w:jc w:val="both"/>
            </w:pPr>
            <w:r>
              <w:rPr>
                <w:spacing w:val="1"/>
              </w:rPr>
              <w:t>营造“花钱必问</w:t>
            </w:r>
            <w:r>
              <w:rPr>
                <w:spacing w:val="3"/>
              </w:rPr>
              <w:t xml:space="preserve"> </w:t>
            </w:r>
            <w:r>
              <w:rPr>
                <w:spacing w:val="-2"/>
              </w:rPr>
              <w:t>效，无效必问责</w:t>
            </w:r>
            <w:r>
              <w:t xml:space="preserve"> </w:t>
            </w:r>
            <w:r>
              <w:rPr>
                <w:spacing w:val="6"/>
              </w:rPr>
              <w:t>”的舆论氛围</w:t>
            </w:r>
          </w:p>
        </w:tc>
        <w:tc>
          <w:tcPr>
            <w:tcW w:w="989" w:type="dxa"/>
            <w:tcBorders>
              <w:left w:val="single" w:sz="4" w:space="0" w:color="000000"/>
            </w:tcBorders>
          </w:tcPr>
          <w:p>
            <w:pPr>
              <w:pStyle w:val="19"/>
              <w:spacing w:before="217" w:line="185" w:lineRule="auto"/>
              <w:ind w:left="48"/>
            </w:pPr>
            <w:r>
              <w:rPr>
                <w:spacing w:val="-4"/>
              </w:rPr>
              <w:t>10</w:t>
            </w:r>
          </w:p>
        </w:tc>
        <w:tc>
          <w:tcPr>
            <w:tcW w:w="1994" w:type="dxa"/>
            <w:tcBorders>
              <w:left w:val="single" w:sz="4" w:space="0" w:color="000000"/>
            </w:tcBorders>
          </w:tcPr>
          <w:p>
            <w:pPr>
              <w:rPr>
                <w:rFonts w:ascii="Arial" w:hAnsi="Arial"/>
                <w:sz w:val="21"/>
              </w:rPr>
            </w:pPr>
          </w:p>
        </w:tc>
      </w:tr>
      <w:tr>
        <w:trPr>
          <w:trHeight w:val="509"/>
        </w:trPr>
        <w:tc>
          <w:tcPr>
            <w:tcW w:w="615" w:type="dxa"/>
            <w:vMerge/>
            <w:tcBorders>
              <w:top w:val="nil"/>
              <w:bottom w:val="nil"/>
            </w:tcBorders>
            <w:textDirection w:val="tbRlV"/>
          </w:tcPr>
          <w:p/>
        </w:tc>
        <w:tc>
          <w:tcPr>
            <w:tcW w:w="1069" w:type="dxa"/>
            <w:vMerge/>
            <w:tcBorders>
              <w:top w:val="nil"/>
              <w:bottom w:val="nil"/>
            </w:tcBorders>
          </w:tcPr>
          <w:p/>
        </w:tc>
        <w:tc>
          <w:tcPr>
            <w:tcW w:w="1619" w:type="dxa"/>
            <w:tcBorders>
              <w:left w:val="single" w:sz="4" w:space="0" w:color="000000"/>
            </w:tcBorders>
          </w:tcPr>
          <w:p>
            <w:pPr>
              <w:pStyle w:val="19"/>
              <w:spacing w:before="31" w:line="228" w:lineRule="auto"/>
              <w:ind w:left="10"/>
            </w:pPr>
            <w:r>
              <w:rPr>
                <w:spacing w:val="-8"/>
              </w:rPr>
              <w:t>保障于部职工的日常生产生</w:t>
            </w:r>
            <w:r>
              <w:rPr>
                <w:spacing w:val="10"/>
              </w:rPr>
              <w:t xml:space="preserve"> </w:t>
            </w:r>
            <w:r>
              <w:rPr>
                <w:spacing w:val="-7"/>
              </w:rPr>
              <w:t>活需要，确保正常开展工作</w:t>
            </w:r>
          </w:p>
        </w:tc>
        <w:tc>
          <w:tcPr>
            <w:tcW w:w="899" w:type="dxa"/>
            <w:tcBorders>
              <w:left w:val="single" w:sz="4" w:space="0" w:color="000000"/>
            </w:tcBorders>
          </w:tcPr>
          <w:p>
            <w:pPr>
              <w:pStyle w:val="19"/>
              <w:spacing w:before="191" w:line="218" w:lineRule="auto"/>
              <w:ind w:left="107"/>
            </w:pPr>
            <w:r>
              <w:rPr>
                <w:spacing w:val="-1"/>
              </w:rPr>
              <w:t>满意度指标</w:t>
            </w:r>
          </w:p>
        </w:tc>
        <w:tc>
          <w:tcPr>
            <w:tcW w:w="909" w:type="dxa"/>
            <w:tcBorders>
              <w:left w:val="single" w:sz="4" w:space="0" w:color="000000"/>
            </w:tcBorders>
          </w:tcPr>
          <w:p>
            <w:pPr>
              <w:pStyle w:val="19"/>
              <w:spacing w:before="132" w:line="223" w:lineRule="auto"/>
              <w:ind w:left="32" w:right="31"/>
            </w:pPr>
            <w:r>
              <w:rPr>
                <w:spacing w:val="-1"/>
              </w:rPr>
              <w:t>服务对象满意</w:t>
            </w:r>
            <w:r>
              <w:t xml:space="preserve"> </w:t>
            </w:r>
            <w:r>
              <w:rPr>
                <w:spacing w:val="-2"/>
              </w:rPr>
              <w:t>度指标</w:t>
            </w:r>
          </w:p>
        </w:tc>
        <w:tc>
          <w:tcPr>
            <w:tcW w:w="1469" w:type="dxa"/>
            <w:tcBorders>
              <w:left w:val="single" w:sz="4" w:space="0" w:color="000000"/>
            </w:tcBorders>
          </w:tcPr>
          <w:p>
            <w:pPr>
              <w:pStyle w:val="19"/>
              <w:spacing w:before="121" w:line="223" w:lineRule="auto"/>
              <w:ind w:left="13"/>
            </w:pPr>
            <w:r>
              <w:rPr>
                <w:spacing w:val="-9"/>
              </w:rPr>
              <w:t>得到全厅干部职工的高度</w:t>
            </w:r>
            <w:r>
              <w:rPr>
                <w:spacing w:val="3"/>
              </w:rPr>
              <w:t xml:space="preserve"> </w:t>
            </w:r>
            <w:r>
              <w:rPr>
                <w:spacing w:val="-1"/>
              </w:rPr>
              <w:t>认可。</w:t>
            </w:r>
          </w:p>
        </w:tc>
        <w:tc>
          <w:tcPr>
            <w:tcW w:w="909" w:type="dxa"/>
            <w:tcBorders>
              <w:left w:val="single" w:sz="4" w:space="0" w:color="000000"/>
            </w:tcBorders>
          </w:tcPr>
          <w:p>
            <w:pPr>
              <w:pStyle w:val="19"/>
              <w:spacing w:before="205" w:line="238" w:lineRule="auto"/>
              <w:ind w:left="25"/>
            </w:pPr>
            <w:r>
              <w:t>≥</w:t>
            </w:r>
          </w:p>
        </w:tc>
        <w:tc>
          <w:tcPr>
            <w:tcW w:w="829" w:type="dxa"/>
            <w:tcBorders>
              <w:left w:val="single" w:sz="4" w:space="0" w:color="000000"/>
            </w:tcBorders>
          </w:tcPr>
          <w:p>
            <w:pPr>
              <w:pStyle w:val="19"/>
              <w:spacing w:before="227" w:line="182" w:lineRule="auto"/>
              <w:ind w:left="25"/>
            </w:pPr>
            <w:r>
              <w:rPr>
                <w:spacing w:val="-2"/>
              </w:rPr>
              <w:t>95</w:t>
            </w:r>
          </w:p>
        </w:tc>
        <w:tc>
          <w:tcPr>
            <w:tcW w:w="1009" w:type="dxa"/>
            <w:tcBorders>
              <w:left w:val="single" w:sz="4" w:space="0" w:color="000000"/>
            </w:tcBorders>
          </w:tcPr>
          <w:p>
            <w:pPr>
              <w:pStyle w:val="19"/>
              <w:spacing w:before="205"/>
              <w:ind w:left="36"/>
            </w:pPr>
            <w:r>
              <w:t>%</w:t>
            </w:r>
          </w:p>
        </w:tc>
        <w:tc>
          <w:tcPr>
            <w:tcW w:w="1010" w:type="dxa"/>
            <w:tcBorders>
              <w:left w:val="single" w:sz="4" w:space="0" w:color="000000"/>
            </w:tcBorders>
          </w:tcPr>
          <w:p>
            <w:pPr>
              <w:rPr>
                <w:rFonts w:ascii="Arial" w:hAnsi="Arial"/>
                <w:sz w:val="21"/>
              </w:rPr>
            </w:pPr>
          </w:p>
        </w:tc>
        <w:tc>
          <w:tcPr>
            <w:tcW w:w="1019" w:type="dxa"/>
            <w:tcBorders>
              <w:left w:val="single" w:sz="4" w:space="0" w:color="000000"/>
            </w:tcBorders>
          </w:tcPr>
          <w:p>
            <w:pPr>
              <w:pStyle w:val="19"/>
              <w:spacing w:before="227" w:line="182" w:lineRule="auto"/>
              <w:ind w:left="17"/>
            </w:pPr>
            <w:r>
              <w:rPr>
                <w:spacing w:val="-2"/>
              </w:rPr>
              <w:t>95%</w:t>
            </w:r>
          </w:p>
        </w:tc>
        <w:tc>
          <w:tcPr>
            <w:tcW w:w="989" w:type="dxa"/>
            <w:tcBorders>
              <w:left w:val="single" w:sz="4" w:space="0" w:color="000000"/>
            </w:tcBorders>
          </w:tcPr>
          <w:p>
            <w:pPr>
              <w:pStyle w:val="19"/>
              <w:spacing w:before="228" w:line="182" w:lineRule="auto"/>
              <w:ind w:left="48"/>
            </w:pPr>
            <w:r>
              <w:t>5</w:t>
            </w:r>
          </w:p>
        </w:tc>
        <w:tc>
          <w:tcPr>
            <w:tcW w:w="1994" w:type="dxa"/>
            <w:tcBorders>
              <w:left w:val="single" w:sz="4" w:space="0" w:color="000000"/>
            </w:tcBorders>
          </w:tcPr>
          <w:p>
            <w:pPr>
              <w:rPr>
                <w:rFonts w:ascii="Arial" w:hAnsi="Arial"/>
                <w:sz w:val="21"/>
              </w:rPr>
            </w:pPr>
          </w:p>
        </w:tc>
      </w:tr>
      <w:tr>
        <w:trPr>
          <w:trHeight w:val="579"/>
        </w:trPr>
        <w:tc>
          <w:tcPr>
            <w:tcW w:w="615" w:type="dxa"/>
            <w:vMerge/>
            <w:tcBorders>
              <w:top w:val="nil"/>
              <w:bottom w:val="nil"/>
            </w:tcBorders>
            <w:textDirection w:val="tbRlV"/>
          </w:tcPr>
          <w:p/>
        </w:tc>
        <w:tc>
          <w:tcPr>
            <w:tcW w:w="1069" w:type="dxa"/>
            <w:vMerge/>
            <w:tcBorders>
              <w:top w:val="nil"/>
            </w:tcBorders>
          </w:tcPr>
          <w:p/>
        </w:tc>
        <w:tc>
          <w:tcPr>
            <w:tcW w:w="1619" w:type="dxa"/>
            <w:tcBorders>
              <w:left w:val="single" w:sz="4" w:space="0" w:color="000000"/>
            </w:tcBorders>
          </w:tcPr>
          <w:p>
            <w:pPr>
              <w:pStyle w:val="19"/>
              <w:spacing w:before="12" w:line="214" w:lineRule="auto"/>
              <w:ind w:left="10"/>
              <w:jc w:val="both"/>
            </w:pPr>
            <w:r>
              <w:rPr>
                <w:spacing w:val="-7"/>
              </w:rPr>
              <w:t>完成预算管理、国库管理、</w:t>
            </w:r>
            <w:r>
              <w:rPr>
                <w:spacing w:val="1"/>
              </w:rPr>
              <w:t xml:space="preserve"> </w:t>
            </w:r>
            <w:r>
              <w:rPr>
                <w:spacing w:val="-12"/>
              </w:rPr>
              <w:t>政策管理、会计管理、财政</w:t>
            </w:r>
            <w:r>
              <w:rPr>
                <w:spacing w:val="2"/>
              </w:rPr>
              <w:t xml:space="preserve">  </w:t>
            </w:r>
            <w:r>
              <w:rPr>
                <w:spacing w:val="-11"/>
              </w:rPr>
              <w:t>监督、国资管理等管理任务</w:t>
            </w:r>
          </w:p>
        </w:tc>
        <w:tc>
          <w:tcPr>
            <w:tcW w:w="899" w:type="dxa"/>
            <w:tcBorders>
              <w:left w:val="single" w:sz="4" w:space="0" w:color="000000"/>
            </w:tcBorders>
          </w:tcPr>
          <w:p>
            <w:pPr>
              <w:pStyle w:val="19"/>
              <w:spacing w:before="222" w:line="218" w:lineRule="auto"/>
              <w:ind w:left="31"/>
            </w:pPr>
            <w:r>
              <w:rPr>
                <w:spacing w:val="-1"/>
              </w:rPr>
              <w:t>满意度指标</w:t>
            </w:r>
          </w:p>
        </w:tc>
        <w:tc>
          <w:tcPr>
            <w:tcW w:w="909" w:type="dxa"/>
            <w:tcBorders>
              <w:left w:val="single" w:sz="4" w:space="0" w:color="000000"/>
            </w:tcBorders>
          </w:tcPr>
          <w:p>
            <w:pPr>
              <w:pStyle w:val="19"/>
              <w:spacing w:before="152" w:line="216" w:lineRule="auto"/>
              <w:ind w:left="32" w:right="41" w:hanging="10"/>
            </w:pPr>
            <w:r>
              <w:rPr>
                <w:spacing w:val="-1"/>
              </w:rPr>
              <w:t>服务对象满意</w:t>
            </w:r>
            <w:r>
              <w:t xml:space="preserve"> </w:t>
            </w:r>
            <w:r>
              <w:rPr>
                <w:spacing w:val="-2"/>
              </w:rPr>
              <w:t>度指标</w:t>
            </w:r>
          </w:p>
        </w:tc>
        <w:tc>
          <w:tcPr>
            <w:tcW w:w="1469" w:type="dxa"/>
            <w:tcBorders>
              <w:left w:val="single" w:sz="4" w:space="0" w:color="000000"/>
            </w:tcBorders>
          </w:tcPr>
          <w:p>
            <w:pPr>
              <w:pStyle w:val="19"/>
              <w:spacing w:before="222" w:line="218" w:lineRule="auto"/>
              <w:ind w:left="13"/>
            </w:pPr>
            <w:r>
              <w:t>受益对象满意度。</w:t>
            </w:r>
          </w:p>
        </w:tc>
        <w:tc>
          <w:tcPr>
            <w:tcW w:w="909" w:type="dxa"/>
            <w:tcBorders>
              <w:left w:val="single" w:sz="4" w:space="0" w:color="000000"/>
            </w:tcBorders>
          </w:tcPr>
          <w:p>
            <w:pPr>
              <w:pStyle w:val="19"/>
              <w:spacing w:before="236" w:line="238" w:lineRule="auto"/>
              <w:ind w:left="25"/>
            </w:pPr>
            <w:r>
              <w:t>≥</w:t>
            </w:r>
          </w:p>
        </w:tc>
        <w:tc>
          <w:tcPr>
            <w:tcW w:w="829" w:type="dxa"/>
            <w:tcBorders>
              <w:left w:val="single" w:sz="4" w:space="0" w:color="000000"/>
            </w:tcBorders>
          </w:tcPr>
          <w:p>
            <w:pPr>
              <w:pStyle w:val="19"/>
              <w:spacing w:before="258" w:line="182" w:lineRule="auto"/>
              <w:ind w:left="25"/>
            </w:pPr>
            <w:r>
              <w:rPr>
                <w:spacing w:val="-2"/>
              </w:rPr>
              <w:t>95</w:t>
            </w:r>
          </w:p>
        </w:tc>
        <w:tc>
          <w:tcPr>
            <w:tcW w:w="1009" w:type="dxa"/>
            <w:tcBorders>
              <w:left w:val="single" w:sz="4" w:space="0" w:color="000000"/>
            </w:tcBorders>
          </w:tcPr>
          <w:p>
            <w:pPr>
              <w:pStyle w:val="19"/>
              <w:spacing w:before="236"/>
              <w:ind w:left="36"/>
            </w:pPr>
            <w:r>
              <w:t>%</w:t>
            </w:r>
          </w:p>
        </w:tc>
        <w:tc>
          <w:tcPr>
            <w:tcW w:w="1010" w:type="dxa"/>
            <w:tcBorders>
              <w:left w:val="single" w:sz="4" w:space="0" w:color="000000"/>
            </w:tcBorders>
          </w:tcPr>
          <w:p>
            <w:pPr>
              <w:pStyle w:val="19"/>
              <w:spacing w:before="259" w:line="182" w:lineRule="auto"/>
              <w:ind w:left="47"/>
            </w:pPr>
            <w:r>
              <w:t>5</w:t>
            </w:r>
          </w:p>
        </w:tc>
        <w:tc>
          <w:tcPr>
            <w:tcW w:w="1019" w:type="dxa"/>
            <w:tcBorders>
              <w:left w:val="single" w:sz="4" w:space="0" w:color="000000"/>
            </w:tcBorders>
          </w:tcPr>
          <w:p>
            <w:pPr>
              <w:pStyle w:val="19"/>
              <w:spacing w:before="258" w:line="182" w:lineRule="auto"/>
              <w:ind w:left="17"/>
            </w:pPr>
            <w:r>
              <w:rPr>
                <w:spacing w:val="-2"/>
              </w:rPr>
              <w:t>95%</w:t>
            </w:r>
          </w:p>
        </w:tc>
        <w:tc>
          <w:tcPr>
            <w:tcW w:w="989" w:type="dxa"/>
            <w:tcBorders>
              <w:left w:val="single" w:sz="4" w:space="0" w:color="000000"/>
            </w:tcBorders>
          </w:tcPr>
          <w:p>
            <w:pPr>
              <w:pStyle w:val="19"/>
              <w:spacing w:before="259" w:line="182" w:lineRule="auto"/>
              <w:ind w:left="48"/>
            </w:pPr>
            <w:r>
              <w:t>5</w:t>
            </w:r>
          </w:p>
        </w:tc>
        <w:tc>
          <w:tcPr>
            <w:tcW w:w="1994" w:type="dxa"/>
            <w:tcBorders>
              <w:left w:val="single" w:sz="4" w:space="0" w:color="000000"/>
            </w:tcBorders>
          </w:tcPr>
          <w:p>
            <w:pPr>
              <w:rPr>
                <w:rFonts w:ascii="Arial" w:hAnsi="Arial"/>
                <w:sz w:val="21"/>
              </w:rPr>
            </w:pPr>
          </w:p>
        </w:tc>
      </w:tr>
      <w:tr>
        <w:trPr>
          <w:trHeight w:val="659"/>
        </w:trPr>
        <w:tc>
          <w:tcPr>
            <w:tcW w:w="615" w:type="dxa"/>
            <w:vMerge/>
            <w:tcBorders>
              <w:top w:val="nil"/>
              <w:bottom w:val="nil"/>
            </w:tcBorders>
            <w:textDirection w:val="tbRlV"/>
          </w:tcPr>
          <w:p/>
        </w:tc>
        <w:tc>
          <w:tcPr>
            <w:tcW w:w="1069" w:type="dxa"/>
            <w:vMerge w:val="restart"/>
            <w:tcBorders>
              <w:bottom w:val="nil"/>
            </w:tcBorders>
          </w:tcPr>
          <w:p>
            <w:pPr>
              <w:spacing w:line="314" w:lineRule="auto"/>
              <w:rPr>
                <w:rFonts w:ascii="Arial" w:hAnsi="Arial"/>
                <w:sz w:val="21"/>
              </w:rPr>
            </w:pPr>
          </w:p>
          <w:p>
            <w:pPr>
              <w:pStyle w:val="19"/>
              <w:spacing w:before="46" w:line="214" w:lineRule="auto"/>
              <w:ind w:left="39" w:right="4"/>
              <w:jc w:val="both"/>
            </w:pPr>
            <w:r>
              <w:rPr>
                <w:spacing w:val="-4"/>
              </w:rPr>
              <w:t>07-会计管理/03-</w:t>
            </w:r>
            <w:r>
              <w:rPr>
                <w:spacing w:val="7"/>
              </w:rPr>
              <w:t xml:space="preserve"> </w:t>
            </w:r>
            <w:r>
              <w:rPr>
                <w:spacing w:val="-1"/>
              </w:rPr>
              <w:t>全区财务会计人</w:t>
            </w:r>
            <w:r>
              <w:t xml:space="preserve"> </w:t>
            </w:r>
            <w:r>
              <w:rPr>
                <w:spacing w:val="-2"/>
              </w:rPr>
              <w:t>员能力建设</w:t>
            </w:r>
          </w:p>
        </w:tc>
        <w:tc>
          <w:tcPr>
            <w:tcW w:w="1619" w:type="dxa"/>
            <w:tcBorders>
              <w:left w:val="single" w:sz="4" w:space="0" w:color="000000"/>
            </w:tcBorders>
          </w:tcPr>
          <w:p>
            <w:pPr>
              <w:pStyle w:val="19"/>
              <w:spacing w:before="122" w:line="218" w:lineRule="auto"/>
              <w:ind w:left="10" w:right="1"/>
              <w:jc w:val="both"/>
            </w:pPr>
            <w:r>
              <w:rPr>
                <w:spacing w:val="-8"/>
              </w:rPr>
              <w:t>加强行政企事业单位党风廉</w:t>
            </w:r>
            <w:r>
              <w:rPr>
                <w:spacing w:val="10"/>
              </w:rPr>
              <w:t xml:space="preserve"> </w:t>
            </w:r>
            <w:r>
              <w:rPr>
                <w:spacing w:val="-7"/>
              </w:rPr>
              <w:t>政建设、内部控制，提高风</w:t>
            </w:r>
            <w:r>
              <w:t xml:space="preserve"> 险风控意识。</w:t>
            </w:r>
          </w:p>
        </w:tc>
        <w:tc>
          <w:tcPr>
            <w:tcW w:w="899" w:type="dxa"/>
            <w:tcBorders>
              <w:left w:val="single" w:sz="4" w:space="0" w:color="000000"/>
            </w:tcBorders>
          </w:tcPr>
          <w:p>
            <w:pPr>
              <w:pStyle w:val="19"/>
              <w:spacing w:before="263" w:line="218" w:lineRule="auto"/>
              <w:ind w:left="31"/>
            </w:pPr>
            <w:r>
              <w:rPr>
                <w:spacing w:val="-2"/>
              </w:rPr>
              <w:t>产出指标</w:t>
            </w:r>
          </w:p>
        </w:tc>
        <w:tc>
          <w:tcPr>
            <w:tcW w:w="909" w:type="dxa"/>
            <w:tcBorders>
              <w:left w:val="single" w:sz="4" w:space="0" w:color="000000"/>
            </w:tcBorders>
          </w:tcPr>
          <w:p>
            <w:pPr>
              <w:pStyle w:val="19"/>
              <w:spacing w:before="264" w:line="221" w:lineRule="auto"/>
              <w:ind w:left="32"/>
            </w:pPr>
            <w:r>
              <w:rPr>
                <w:spacing w:val="-2"/>
              </w:rPr>
              <w:t>效果指标</w:t>
            </w:r>
          </w:p>
        </w:tc>
        <w:tc>
          <w:tcPr>
            <w:tcW w:w="1469" w:type="dxa"/>
            <w:tcBorders>
              <w:left w:val="single" w:sz="4" w:space="0" w:color="000000"/>
            </w:tcBorders>
          </w:tcPr>
          <w:p>
            <w:pPr>
              <w:pStyle w:val="19"/>
              <w:spacing w:before="263" w:line="218" w:lineRule="auto"/>
              <w:ind w:left="13"/>
            </w:pPr>
            <w:r>
              <w:t>综合能力提升。</w:t>
            </w:r>
          </w:p>
        </w:tc>
        <w:tc>
          <w:tcPr>
            <w:tcW w:w="909" w:type="dxa"/>
            <w:tcBorders>
              <w:left w:val="single" w:sz="4" w:space="0" w:color="000000"/>
            </w:tcBorders>
          </w:tcPr>
          <w:p>
            <w:pPr>
              <w:pStyle w:val="19"/>
              <w:spacing w:before="277" w:line="238" w:lineRule="auto"/>
              <w:ind w:left="25"/>
            </w:pPr>
            <w:r>
              <w:t>≥</w:t>
            </w:r>
          </w:p>
        </w:tc>
        <w:tc>
          <w:tcPr>
            <w:tcW w:w="829" w:type="dxa"/>
            <w:tcBorders>
              <w:left w:val="single" w:sz="4" w:space="0" w:color="000000"/>
            </w:tcBorders>
          </w:tcPr>
          <w:p>
            <w:pPr>
              <w:spacing w:line="252" w:lineRule="auto"/>
              <w:rPr>
                <w:rFonts w:ascii="Arial" w:hAnsi="Arial"/>
                <w:sz w:val="21"/>
              </w:rPr>
            </w:pPr>
          </w:p>
          <w:p>
            <w:pPr>
              <w:pStyle w:val="19"/>
              <w:spacing w:before="46" w:line="182" w:lineRule="auto"/>
              <w:ind w:left="25"/>
            </w:pPr>
            <w:r>
              <w:rPr>
                <w:spacing w:val="-2"/>
              </w:rPr>
              <w:t>98</w:t>
            </w:r>
          </w:p>
        </w:tc>
        <w:tc>
          <w:tcPr>
            <w:tcW w:w="1009" w:type="dxa"/>
            <w:tcBorders>
              <w:left w:val="single" w:sz="4" w:space="0" w:color="000000"/>
            </w:tcBorders>
          </w:tcPr>
          <w:p>
            <w:pPr>
              <w:pStyle w:val="19"/>
              <w:spacing w:before="277"/>
              <w:ind w:left="36"/>
            </w:pPr>
            <w:r>
              <w:t>%</w:t>
            </w:r>
          </w:p>
        </w:tc>
        <w:tc>
          <w:tcPr>
            <w:tcW w:w="1010" w:type="dxa"/>
            <w:tcBorders>
              <w:left w:val="single" w:sz="4" w:space="0" w:color="000000"/>
            </w:tcBorders>
          </w:tcPr>
          <w:p>
            <w:pPr>
              <w:spacing w:line="252" w:lineRule="auto"/>
              <w:rPr>
                <w:rFonts w:ascii="Arial" w:hAnsi="Arial"/>
                <w:sz w:val="21"/>
              </w:rPr>
            </w:pPr>
          </w:p>
          <w:p>
            <w:pPr>
              <w:pStyle w:val="19"/>
              <w:spacing w:before="46" w:line="182" w:lineRule="auto"/>
              <w:ind w:left="47"/>
            </w:pPr>
            <w:r>
              <w:t>5</w:t>
            </w:r>
          </w:p>
        </w:tc>
        <w:tc>
          <w:tcPr>
            <w:tcW w:w="1019" w:type="dxa"/>
            <w:tcBorders>
              <w:left w:val="single" w:sz="4" w:space="0" w:color="000000"/>
            </w:tcBorders>
          </w:tcPr>
          <w:p>
            <w:pPr>
              <w:spacing w:line="252" w:lineRule="auto"/>
              <w:rPr>
                <w:rFonts w:ascii="Arial" w:hAnsi="Arial"/>
                <w:sz w:val="21"/>
              </w:rPr>
            </w:pPr>
          </w:p>
          <w:p>
            <w:pPr>
              <w:pStyle w:val="19"/>
              <w:spacing w:before="46" w:line="182" w:lineRule="auto"/>
              <w:ind w:left="27"/>
            </w:pPr>
            <w:r>
              <w:rPr>
                <w:spacing w:val="-2"/>
              </w:rPr>
              <w:t>98%</w:t>
            </w:r>
          </w:p>
        </w:tc>
        <w:tc>
          <w:tcPr>
            <w:tcW w:w="989" w:type="dxa"/>
            <w:tcBorders>
              <w:left w:val="single" w:sz="4" w:space="0" w:color="000000"/>
            </w:tcBorders>
          </w:tcPr>
          <w:p>
            <w:pPr>
              <w:spacing w:line="252" w:lineRule="auto"/>
              <w:rPr>
                <w:rFonts w:ascii="Arial" w:hAnsi="Arial"/>
                <w:sz w:val="21"/>
              </w:rPr>
            </w:pPr>
          </w:p>
          <w:p>
            <w:pPr>
              <w:pStyle w:val="19"/>
              <w:spacing w:before="46" w:line="182" w:lineRule="auto"/>
              <w:ind w:left="48"/>
            </w:pPr>
            <w:r>
              <w:t>5</w:t>
            </w:r>
          </w:p>
        </w:tc>
        <w:tc>
          <w:tcPr>
            <w:tcW w:w="1994" w:type="dxa"/>
            <w:tcBorders>
              <w:left w:val="single" w:sz="4" w:space="0" w:color="000000"/>
            </w:tcBorders>
          </w:tcPr>
          <w:p>
            <w:pPr>
              <w:rPr>
                <w:rFonts w:ascii="Arial" w:hAnsi="Arial"/>
                <w:sz w:val="21"/>
              </w:rPr>
            </w:pPr>
          </w:p>
        </w:tc>
      </w:tr>
      <w:tr>
        <w:trPr>
          <w:trHeight w:val="509"/>
        </w:trPr>
        <w:tc>
          <w:tcPr>
            <w:tcW w:w="615" w:type="dxa"/>
            <w:vMerge/>
            <w:tcBorders>
              <w:top w:val="nil"/>
            </w:tcBorders>
            <w:textDirection w:val="tbRlV"/>
          </w:tcPr>
          <w:p/>
        </w:tc>
        <w:tc>
          <w:tcPr>
            <w:tcW w:w="1069" w:type="dxa"/>
            <w:vMerge/>
            <w:tcBorders>
              <w:top w:val="nil"/>
            </w:tcBorders>
          </w:tcPr>
          <w:p/>
        </w:tc>
        <w:tc>
          <w:tcPr>
            <w:tcW w:w="1619" w:type="dxa"/>
            <w:tcBorders>
              <w:left w:val="single" w:sz="4" w:space="0" w:color="000000"/>
            </w:tcBorders>
          </w:tcPr>
          <w:p>
            <w:pPr>
              <w:pStyle w:val="19"/>
              <w:spacing w:before="104" w:line="240" w:lineRule="auto"/>
              <w:ind w:left="10"/>
            </w:pPr>
            <w:r>
              <w:rPr>
                <w:spacing w:val="-7"/>
              </w:rPr>
              <w:t>全区财务人员会计专业能力</w:t>
            </w:r>
            <w:r>
              <w:rPr>
                <w:spacing w:val="1"/>
              </w:rPr>
              <w:t xml:space="preserve"> </w:t>
            </w:r>
            <w:r>
              <w:rPr>
                <w:spacing w:val="-1"/>
              </w:rPr>
              <w:t>提升培训。</w:t>
            </w:r>
          </w:p>
        </w:tc>
        <w:tc>
          <w:tcPr>
            <w:tcW w:w="899" w:type="dxa"/>
            <w:tcBorders>
              <w:left w:val="single" w:sz="4" w:space="0" w:color="000000"/>
            </w:tcBorders>
          </w:tcPr>
          <w:p>
            <w:pPr>
              <w:pStyle w:val="19"/>
              <w:spacing w:before="195" w:line="221" w:lineRule="auto"/>
              <w:ind w:left="31"/>
            </w:pPr>
            <w:r>
              <w:rPr>
                <w:spacing w:val="-2"/>
              </w:rPr>
              <w:t>效益指标</w:t>
            </w:r>
          </w:p>
        </w:tc>
        <w:tc>
          <w:tcPr>
            <w:tcW w:w="909" w:type="dxa"/>
            <w:tcBorders>
              <w:left w:val="single" w:sz="4" w:space="0" w:color="000000"/>
            </w:tcBorders>
          </w:tcPr>
          <w:p>
            <w:pPr>
              <w:pStyle w:val="19"/>
              <w:spacing w:before="193" w:line="218" w:lineRule="auto"/>
              <w:ind w:left="32"/>
            </w:pPr>
            <w:r>
              <w:rPr>
                <w:spacing w:val="-1"/>
              </w:rPr>
              <w:t>社会效益指标</w:t>
            </w:r>
          </w:p>
        </w:tc>
        <w:tc>
          <w:tcPr>
            <w:tcW w:w="1469" w:type="dxa"/>
            <w:tcBorders>
              <w:left w:val="single" w:sz="4" w:space="0" w:color="000000"/>
            </w:tcBorders>
          </w:tcPr>
          <w:p>
            <w:pPr>
              <w:pStyle w:val="19"/>
              <w:spacing w:before="194" w:line="218" w:lineRule="auto"/>
              <w:jc w:val="right"/>
            </w:pPr>
            <w:r>
              <w:rPr>
                <w:spacing w:val="-10"/>
              </w:rPr>
              <w:t>各单</w:t>
            </w:r>
            <w:r>
              <w:rPr>
                <w:spacing w:val="-9"/>
              </w:rPr>
              <w:t>位财务工作质量提</w:t>
            </w:r>
            <w:r>
              <w:rPr>
                <w:spacing w:val="-7"/>
              </w:rPr>
              <w:t>高</w:t>
            </w:r>
          </w:p>
        </w:tc>
        <w:tc>
          <w:tcPr>
            <w:tcW w:w="909" w:type="dxa"/>
            <w:tcBorders>
              <w:left w:val="single" w:sz="4" w:space="0" w:color="000000"/>
            </w:tcBorders>
          </w:tcPr>
          <w:p>
            <w:pPr>
              <w:pStyle w:val="19"/>
              <w:spacing w:before="208" w:line="238" w:lineRule="auto"/>
              <w:ind w:left="25"/>
            </w:pPr>
            <w:r>
              <w:t>≥</w:t>
            </w:r>
          </w:p>
        </w:tc>
        <w:tc>
          <w:tcPr>
            <w:tcW w:w="829" w:type="dxa"/>
            <w:tcBorders>
              <w:left w:val="single" w:sz="4" w:space="0" w:color="000000"/>
            </w:tcBorders>
          </w:tcPr>
          <w:p>
            <w:pPr>
              <w:pStyle w:val="19"/>
              <w:spacing w:before="230" w:line="182" w:lineRule="auto"/>
              <w:ind w:left="25"/>
            </w:pPr>
            <w:r>
              <w:rPr>
                <w:spacing w:val="-3"/>
              </w:rPr>
              <w:t>50</w:t>
            </w:r>
          </w:p>
        </w:tc>
        <w:tc>
          <w:tcPr>
            <w:tcW w:w="1009" w:type="dxa"/>
            <w:tcBorders>
              <w:left w:val="single" w:sz="4" w:space="0" w:color="000000"/>
            </w:tcBorders>
          </w:tcPr>
          <w:p>
            <w:pPr>
              <w:pStyle w:val="19"/>
              <w:spacing w:before="208"/>
              <w:ind w:left="36"/>
            </w:pPr>
            <w:r>
              <w:t>%</w:t>
            </w:r>
          </w:p>
        </w:tc>
        <w:tc>
          <w:tcPr>
            <w:tcW w:w="1010" w:type="dxa"/>
            <w:tcBorders>
              <w:left w:val="single" w:sz="4" w:space="0" w:color="000000"/>
            </w:tcBorders>
          </w:tcPr>
          <w:p>
            <w:pPr>
              <w:pStyle w:val="19"/>
              <w:spacing w:before="231" w:line="182" w:lineRule="auto"/>
              <w:ind w:left="47"/>
            </w:pPr>
            <w:r>
              <w:t>5</w:t>
            </w:r>
          </w:p>
        </w:tc>
        <w:tc>
          <w:tcPr>
            <w:tcW w:w="1019" w:type="dxa"/>
            <w:tcBorders>
              <w:left w:val="single" w:sz="4" w:space="0" w:color="000000"/>
            </w:tcBorders>
          </w:tcPr>
          <w:p>
            <w:pPr>
              <w:pStyle w:val="19"/>
              <w:spacing w:before="230" w:line="182" w:lineRule="auto"/>
              <w:ind w:left="38"/>
            </w:pPr>
            <w:r>
              <w:rPr>
                <w:spacing w:val="-2"/>
              </w:rPr>
              <w:t>50%</w:t>
            </w:r>
          </w:p>
        </w:tc>
        <w:tc>
          <w:tcPr>
            <w:tcW w:w="989" w:type="dxa"/>
            <w:tcBorders>
              <w:left w:val="single" w:sz="4" w:space="0" w:color="000000"/>
            </w:tcBorders>
          </w:tcPr>
          <w:p>
            <w:pPr>
              <w:pStyle w:val="19"/>
              <w:spacing w:before="231" w:line="182" w:lineRule="auto"/>
              <w:ind w:left="48"/>
            </w:pPr>
            <w:r>
              <w:t>5</w:t>
            </w:r>
          </w:p>
        </w:tc>
        <w:tc>
          <w:tcPr>
            <w:tcW w:w="1994" w:type="dxa"/>
            <w:tcBorders>
              <w:left w:val="single" w:sz="4" w:space="0" w:color="000000"/>
            </w:tcBorders>
          </w:tcPr>
          <w:p>
            <w:pPr>
              <w:rPr>
                <w:rFonts w:ascii="Arial" w:hAnsi="Arial"/>
                <w:sz w:val="21"/>
              </w:rPr>
            </w:pPr>
          </w:p>
        </w:tc>
      </w:tr>
      <w:tr>
        <w:trPr>
          <w:trHeight w:val="375"/>
        </w:trPr>
        <w:tc>
          <w:tcPr>
            <w:tcW w:w="615" w:type="dxa"/>
          </w:tcPr>
          <w:p>
            <w:pPr>
              <w:pStyle w:val="19"/>
              <w:spacing w:before="125" w:line="218" w:lineRule="auto"/>
              <w:ind w:left="14"/>
            </w:pPr>
            <w:r>
              <w:rPr>
                <w:spacing w:val="3"/>
              </w:rPr>
              <w:t>其他说明</w:t>
            </w:r>
          </w:p>
        </w:tc>
        <w:tc>
          <w:tcPr>
            <w:tcW w:w="13724" w:type="dxa"/>
            <w:gridSpan w:val="12"/>
            <w:tcBorders>
              <w:left w:val="single" w:sz="4" w:space="0" w:color="000000"/>
            </w:tcBorders>
          </w:tcPr>
          <w:p>
            <w:pPr>
              <w:rPr>
                <w:rFonts w:ascii="Arial" w:hAnsi="Arial"/>
                <w:sz w:val="21"/>
              </w:rPr>
            </w:pPr>
          </w:p>
        </w:tc>
      </w:tr>
    </w:tbl>
    <w:p>
      <w:pPr>
        <w:rPr>
          <w:rFonts w:ascii="Arial" w:eastAsia="Arial" w:cs="Arial" w:hAnsi="Arial"/>
          <w:sz w:val="21"/>
          <w:szCs w:val="21"/>
        </w:rPr>
        <w:sectPr>
          <w:pgSz w:w="16460" w:h="11920"/>
          <w:pgMar w:top="1013" w:right="1124" w:bottom="400" w:left="985" w:header="0" w:footer="0" w:gutter="0"/>
          <w:pgNumType/>
          <w:cols w:num="1" w:space="720"/>
          <w:docGrid w:linePitch="312" w:charSpace="0"/>
        </w:sectPr>
      </w:pPr>
    </w:p>
    <w:p>
      <w:pPr>
        <w:rPr>
          <w:rFonts w:ascii="Arial" w:hAnsi="Arial"/>
          <w:sz w:val="21"/>
        </w:rPr>
      </w:pPr>
    </w:p>
    <w:sectPr>
      <w:pgSz w:w="11940" w:h="16480"/>
      <w:pgMar w:top="1035" w:right="605" w:bottom="400" w:left="224" w:header="0" w:footer="0" w:gutter="0"/>
      <w:pgNumType/>
      <w:cols w:num="1" w:space="720"/>
      <w:docGrid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variable"/>
    <w:sig w:usb0="800002BF" w:usb1="38CF7CFA" w:usb2="00000016" w:usb3="00000000" w:csb0="00040001" w:csb1="00000000"/>
  </w:font>
  <w:font w:name="楷体">
    <w:panose1 w:val="02010609060101010101"/>
    <w:charset w:val="86"/>
    <w:family w:val="auto"/>
    <w:pitch w:val="variable"/>
    <w:sig w:usb0="800002BF" w:usb1="38CF7CFA" w:usb2="00000016" w:usb3="00000000" w:csb0="00040001" w:csb1="00000000"/>
  </w:font>
  <w:font w:name="Arial">
    <w:panose1 w:val="020B0604020202020204"/>
    <w:charset w:val="01"/>
    <w:family w:val="swiss"/>
    <w:pitch w:val="variable"/>
    <w:sig w:usb0="E0002EFF" w:usb1="C000785B" w:usb2="00000009" w:usb3="00000000" w:csb0="400001FF" w:csb1="FFFF0000"/>
  </w:font>
  <w:font w:name="仿宋_GB2312">
    <w:altName w:val="仿宋"/>
    <w:panose1 w:val="02010609030101010101"/>
    <w:charset w:val="86"/>
    <w:family w:val="auto"/>
    <w:pitch w:val="variable"/>
    <w:sig w:usb0="00000000" w:usb1="00000000" w:usb2="00000000" w:usb3="00000000" w:csb0="00040000" w:csb1="00000000"/>
  </w:font>
  <w:font w:name="ˎ̥">
    <w:panose1 w:val="00000000000000000000"/>
    <w:charset w:val="00"/>
    <w:family w:val="auto"/>
    <w:pitch w:val="variable"/>
    <w:sig w:usb0="00000000" w:usb1="00000000" w:usb2="00000000" w:usb3="00000000" w:csb0="00000000" w:csb1="00000000"/>
  </w:font>
  <w:font w:name="Times New Roman">
    <w:panose1 w:val="02020603050405020304"/>
    <w:charset w:val="00"/>
    <w:family w:val="roman"/>
    <w:pitch w:val="variable"/>
    <w:sig w:usb0="20007A87" w:usb1="80000000" w:usb2="00000008" w:usb3="00000000" w:csb0="000001FF" w:csb1="00000000"/>
  </w:font>
  <w:font w:name="Lucida Sans">
    <w:altName w:val="Arial"/>
    <w:panose1 w:val="020B0602030504020204"/>
    <w:charset w:val="00"/>
    <w:family w:val="auto"/>
    <w:pitch w:val="variable"/>
    <w:sig w:usb0="00000000" w:usb1="00000000" w:usb2="00000000" w:usb3="00000000" w:csb0="20000001" w:csb1="00000000"/>
  </w:font>
  <w:font w:name="仿宋">
    <w:panose1 w:val="02010609060101010101"/>
    <w:charset w:val="86"/>
    <w:family w:val="auto"/>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line="178" w:lineRule="auto"/>
      <w:ind w:left="4034"/>
      <w:rPr>
        <w:rFonts w:ascii="宋体" w:eastAsia="宋体" w:cs="宋体" w:hAnsi="宋体"/>
        <w:sz w:val="33"/>
        <w:szCs w:val="33"/>
      </w:rPr>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line="14" w:lineRule="auto"/>
      <w:rPr>
        <w:rFonts w:ascii="Arial" w:hAnsi="Arial"/>
        <w:sz w:val="2"/>
      </w:rPr>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30"/>
  <w:displayBackgroundShape/>
  <w:bordersDoNotSurroundHeader/>
  <w:bordersDoNotSurroundFooter/>
  <w:defaultTabStop w:val="420"/>
  <w:drawingGridHorizontalSpacing w:val="105"/>
  <w:drawingGridVerticalSpacing w:val="156"/>
  <w:displayHorizontalDrawingGridEvery w:val="0"/>
  <w:displayVerticalDrawingGridEvery w:val="1"/>
  <w:compat>
    <w:spaceForUL/>
    <w:ulTrailSpace/>
    <w:compatSetting w:name="compatibilityMode" w:uri="http://schemas.microsoft.com/office/word" w:val="14"/>
  </w:compat>
  <w:docVars>
    <w:docVar w:name="commondata" w:val="eyJoZGlkIjoiNGJmY2UzMmYwMzg2NGEyYmYzMTMzNTAxMGI2NWQzMjQifQ=="/>
  </w:docVars>
  <m:mathPr>
    <m:mathFont m:val="Cambria Math"/>
    <m:brkBin m:val="before"/>
    <m:brkBinSub m:val="--"/>
    <m:smallFrac/>
    <m:dispDef/>
    <m:lMargin m:val="0"/>
    <m:rMargin m:val="0"/>
    <m:defJc m:val="centerGroup"/>
    <m:wrapIndent m:val="1440"/>
    <m:intLim m:val="subSup"/>
    <m:naryLim m:val="undOvr"/>
  </m:mathPr>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qFormat/>
    <w:pPr>
      <w:kinsoku w:val="0"/>
      <w:autoSpaceDE w:val="0"/>
      <w:autoSpaceDN w:val="0"/>
      <w:adjustRightInd w:val="0"/>
      <w:snapToGrid w:val="0"/>
      <w:spacing w:line="240" w:lineRule="auto"/>
      <w:jc w:val="left"/>
      <w:textAlignment w:val="baseline"/>
    </w:pPr>
    <w:rPr>
      <w:rFonts w:ascii="Arial" w:eastAsia="Arial" w:cs="Arial" w:hAnsi="Arial"/>
      <w:snapToGrid w:val="0"/>
      <w:color w:val="000000"/>
      <w:kern w:val="0"/>
      <w:sz w:val="21"/>
      <w:szCs w:val="21"/>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Arial" w:eastAsia="Arial" w:cs="Arial" w:hAnsi="Arial"/>
      <w:b/>
      <w:bCs/>
      <w:snapToGrid w:val="0"/>
      <w:color w:val="000000"/>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Arial" w:hAnsi="Times New Roman"/>
      <w:b/>
      <w:bCs/>
      <w:snapToGrid w:val="0"/>
      <w:color w:val="000000"/>
      <w:kern w:val="0"/>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Arial" w:eastAsia="Arial" w:cs="Arial" w:hAnsi="Arial"/>
      <w:b/>
      <w:bCs/>
      <w:snapToGrid w:val="0"/>
      <w:color w:val="000000"/>
      <w:kern w:val="0"/>
      <w:sz w:val="32"/>
      <w:szCs w:val="32"/>
      <w:lang w:val="en-US" w:eastAsia="zh-CN" w:bidi="ar-SA"/>
    </w:rPr>
  </w:style>
  <w:style w:type="character" w:default="1" w:styleId="10">
    <w:name w:val="Default Paragraph Font"/>
    <w:qFormat/>
  </w:style>
  <w:style w:type="paragraph" w:styleId="15">
    <w:name w:val="Body Text"/>
    <w:qFormat/>
    <w:basedOn w:val="0"/>
    <w:rPr>
      <w:rFonts w:ascii="仿宋" w:eastAsia="仿宋" w:cs="仿宋" w:hAnsi="仿宋"/>
      <w:sz w:val="34"/>
      <w:szCs w:val="34"/>
      <w:lang w:val="en-US" w:bidi="ar-SA"/>
    </w:rPr>
  </w:style>
  <w:style w:type="paragraph" w:styleId="16">
    <w:name w:val="footer"/>
    <w:qFormat/>
    <w:basedOn w:val="0"/>
    <w:pPr>
      <w:tabs>
        <w:tab w:val="center" w:pos="4153"/>
        <w:tab w:val="right" w:pos="8307"/>
      </w:tabs>
      <w:adjustRightInd w:val="0"/>
      <w:snapToGrid w:val="0"/>
      <w:jc w:val="left"/>
    </w:pPr>
    <w:rPr>
      <w:sz w:val="18"/>
      <w:szCs w:val="18"/>
    </w:rPr>
  </w:style>
  <w:style w:type="paragraph" w:styleId="17">
    <w:name w:val="header"/>
    <w:qFormat/>
    <w:basedOn w:val="0"/>
    <w:pPr>
      <w:pBdr>
        <w:bottom w:val="single" w:sz="6" w:space="1" w:color="auto"/>
      </w:pBdr>
      <w:tabs>
        <w:tab w:val="center" w:pos="4153"/>
        <w:tab w:val="right" w:pos="8307"/>
      </w:tabs>
      <w:adjustRightInd w:val="0"/>
      <w:snapToGrid w:val="0"/>
      <w:jc w:val="center"/>
    </w:pPr>
    <w:rPr>
      <w:sz w:val="18"/>
      <w:szCs w:val="18"/>
    </w:rPr>
  </w:style>
  <w:style w:type="character" w:styleId="18">
    <w:name w:val="page number"/>
    <w:qFormat/>
    <w:basedOn w:val="10"/>
  </w:style>
  <w:style w:type="paragraph" w:customStyle="1" w:styleId="19">
    <w:name w:val="Table Text"/>
    <w:qFormat/>
    <w:basedOn w:val="0"/>
    <w:rPr>
      <w:rFonts w:ascii="宋体" w:eastAsia="宋体" w:cs="宋体" w:hAnsi="宋体"/>
      <w:sz w:val="14"/>
      <w:szCs w:val="14"/>
      <w:lang w:val="en-US"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 Id="rId7"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mpd="sng" cap="flat">
          <a:solidFill>
            <a:schemeClr val="phClr"/>
          </a:solidFill>
          <a:prstDash val="solid"/>
          <a:miter/>
        </a:ln>
        <a:ln w="12700" cmpd="sng" cap="flat">
          <a:solidFill>
            <a:schemeClr val="phClr"/>
          </a:solidFill>
          <a:prstDash val="solid"/>
          <a:miter/>
        </a:ln>
        <a:ln w="19050" cmpd="sng" cap="flat">
          <a:solidFill>
            <a:schemeClr val="phClr"/>
          </a:solidFill>
          <a:prstDash val="solid"/>
          <a:miter/>
        </a:ln>
      </a:lnStyleLst>
      <a:effectStyleLst>
        <a:effectStyle>
          <a:effectLst/>
        </a:effectStyle>
        <a:effectStyle>
          <a:effectLst/>
        </a:effectStyle>
        <a:effectStyle>
          <a:effectLst>
            <a:outerShdw sx="100000" sy="100000" algn="b"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customProps>
</customData>
</file>

<file path=customXml/itemProps1.xml><?xml version="1.0" encoding="utf-8"?>
<ds:datastoreItem xmlns:ds="http://schemas.openxmlformats.org/officeDocument/2006/customXml" ds:itemID="{41EC1A8E-8E54-4F68-B140-62409E96DEF6}">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13</TotalTime>
  <Application>Yozo_Office27021597764231189</Application>
  <Pages>7</Pages>
  <Words>0</Words>
  <Characters>2703</Characters>
  <Lines>0</Lines>
  <Paragraphs>42</Paragraphs>
  <CharactersWithSpaces>3605</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subject>pdfbuilder</dc:subject>
  <dc:creator>Kingsoft-PDF</dc:creator>
  <cp:lastModifiedBy>user</cp:lastModifiedBy>
  <cp:revision>0</cp:revision>
  <dcterms:created xsi:type="dcterms:W3CDTF">2024-10-30T16:01:00Z</dcterms:created>
  <dcterms:modified xsi:type="dcterms:W3CDTF">2024-11-04T02:02:58Z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O">
    <vt:lpwstr>wqlLaW5nc29mdCBQREYgdG8gV1BTIDEwMA</vt:lpwstr>
  </property>
  <property fmtid="{D5CDD505-2E9C-101B-9397-08002B2CF9AE}" pid="3" name="Created">
    <vt:filetime>2024-10-30T16:00:00Z</vt:filetime>
  </property>
  <property fmtid="{D5CDD505-2E9C-101B-9397-08002B2CF9AE}" pid="4" name="UsrData">
    <vt:lpwstr>6721e7ea564c68001f3a45acwl</vt:lpwstr>
  </property>
  <property fmtid="{D5CDD505-2E9C-101B-9397-08002B2CF9AE}" pid="5" name="KSOProductBuildVer">
    <vt:lpwstr>2052-12.1.0.18608</vt:lpwstr>
  </property>
  <property fmtid="{D5CDD505-2E9C-101B-9397-08002B2CF9AE}" pid="6" name="ICV">
    <vt:lpwstr>6BAD6E3718EE47C69749C7C5076A560D_12</vt:lpwstr>
  </property>
</Properties>
</file>